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autoSpaceDE w:val="0"/>
        <w:autoSpaceDN w:val="0"/>
        <w:adjustRightInd w:val="0"/>
        <w:spacing w:before="240" w:beforeLines="0" w:after="240" w:afterLines="0"/>
        <w:jc w:val="center"/>
        <w:rPr>
          <w:rFonts w:hint="default" w:ascii="Times New Roman"/>
          <w:kern w:val="36"/>
          <w:sz w:val="40"/>
          <w:szCs w:val="40"/>
          <w:lang w:val="zh-CN"/>
        </w:rPr>
      </w:pPr>
    </w:p>
    <w:p>
      <w:pPr>
        <w:shd w:val="clear" w:color="auto" w:fill="FFFFFF"/>
        <w:autoSpaceDE w:val="0"/>
        <w:autoSpaceDN w:val="0"/>
        <w:adjustRightInd w:val="0"/>
        <w:spacing w:before="240" w:beforeLines="0" w:after="240" w:afterLines="0"/>
        <w:jc w:val="center"/>
        <w:rPr>
          <w:rFonts w:hint="default" w:ascii="Times New Roman"/>
          <w:kern w:val="36"/>
          <w:sz w:val="40"/>
          <w:szCs w:val="40"/>
          <w:lang w:val="zh-CN"/>
        </w:rPr>
      </w:pPr>
    </w:p>
    <w:p>
      <w:pPr>
        <w:autoSpaceDE w:val="0"/>
        <w:autoSpaceDN w:val="0"/>
        <w:adjustRightInd w:val="0"/>
        <w:spacing w:beforeLines="0" w:afterLines="0"/>
        <w:jc w:val="center"/>
        <w:rPr>
          <w:rFonts w:hint="eastAsia" w:ascii="方正小标宋_GBK" w:hAnsi="Times New Roman" w:eastAsia="方正小标宋_GBK" w:cs="方正小标宋_GBK"/>
          <w:sz w:val="44"/>
          <w:szCs w:val="44"/>
        </w:rPr>
      </w:pPr>
      <w:r>
        <w:rPr>
          <w:rFonts w:hint="eastAsia" w:ascii="方正小标宋_GBK" w:hAnsi="Times New Roman" w:eastAsia="方正小标宋_GBK" w:cs="方正小标宋_GBK"/>
          <w:sz w:val="44"/>
          <w:szCs w:val="44"/>
        </w:rPr>
        <w:t>乌鲁木齐市米东区司法局</w:t>
      </w:r>
    </w:p>
    <w:p>
      <w:pPr>
        <w:autoSpaceDE w:val="0"/>
        <w:autoSpaceDN w:val="0"/>
        <w:adjustRightInd w:val="0"/>
        <w:spacing w:beforeLines="0" w:afterLines="0"/>
        <w:jc w:val="center"/>
        <w:rPr>
          <w:rFonts w:hint="default" w:ascii="Times New Roman" w:hAnsi="Times New Roman" w:eastAsia="方正小标宋_GBK"/>
          <w:kern w:val="36"/>
          <w:sz w:val="40"/>
          <w:szCs w:val="40"/>
          <w:lang w:val="zh-CN"/>
        </w:rPr>
      </w:pPr>
      <w:r>
        <w:rPr>
          <w:rFonts w:hint="eastAsia" w:ascii="方正小标宋_GBK" w:hAnsi="Times New Roman" w:eastAsia="方正小标宋_GBK" w:cs="方正小标宋_GBK"/>
          <w:sz w:val="44"/>
          <w:szCs w:val="44"/>
        </w:rPr>
        <w:t>2022年度部门决算公开说明</w:t>
      </w:r>
    </w:p>
    <w:p>
      <w:pPr>
        <w:rPr>
          <w:rFonts w:hint="default" w:ascii="Times New Roman" w:hAnsi="Times New Roman" w:eastAsia="宋体"/>
          <w:kern w:val="36"/>
          <w:sz w:val="40"/>
          <w:szCs w:val="40"/>
          <w:lang w:val="zh-CN"/>
        </w:rPr>
      </w:pPr>
      <w:r>
        <w:rPr>
          <w:rFonts w:hint="default" w:ascii="Times New Roman" w:hAnsi="Times New Roman" w:eastAsia="宋体"/>
          <w:kern w:val="36"/>
          <w:sz w:val="40"/>
          <w:szCs w:val="40"/>
          <w:lang w:val="zh-CN"/>
        </w:rPr>
        <w:br w:type="page"/>
      </w:r>
    </w:p>
    <w:p>
      <w:pPr>
        <w:autoSpaceDE w:val="0"/>
        <w:autoSpaceDN w:val="0"/>
        <w:adjustRightInd w:val="0"/>
        <w:spacing w:beforeLines="0" w:afterLines="0" w:line="540" w:lineRule="exact"/>
        <w:jc w:val="center"/>
        <w:rPr>
          <w:rFonts w:hint="default" w:ascii="Times New Roman" w:hAnsi="Times New Roman" w:eastAsia="仿宋_GB2312"/>
          <w:b/>
          <w:kern w:val="0"/>
          <w:sz w:val="24"/>
          <w:szCs w:val="24"/>
        </w:rPr>
      </w:pPr>
      <w:r>
        <w:rPr>
          <w:rFonts w:hint="eastAsia" w:ascii="仿宋_GB2312" w:hAnsi="Times New Roman" w:eastAsia="仿宋_GB2312" w:cs="仿宋_GB2312"/>
          <w:b/>
          <w:kern w:val="0"/>
          <w:sz w:val="36"/>
          <w:szCs w:val="36"/>
        </w:rPr>
        <w:t>目  录</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kern w:val="0"/>
          <w:sz w:val="32"/>
          <w:szCs w:val="32"/>
        </w:rPr>
      </w:pPr>
      <w:r>
        <w:rPr>
          <w:rFonts w:hint="eastAsia" w:ascii="仿宋_GB2312" w:hAnsi="Times New Roman" w:eastAsia="仿宋_GB2312" w:cs="仿宋_GB2312"/>
          <w:b/>
          <w:kern w:val="0"/>
          <w:sz w:val="32"/>
          <w:szCs w:val="32"/>
        </w:rPr>
        <w:t>第一部分 单位概况</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一、主要职能</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二、</w:t>
      </w:r>
      <w:r>
        <w:rPr>
          <w:rFonts w:hint="eastAsia" w:ascii="仿宋_GB2312" w:hAnsi="Times New Roman" w:eastAsia="仿宋_GB2312" w:cs="仿宋_GB2312"/>
          <w:sz w:val="32"/>
          <w:szCs w:val="32"/>
        </w:rPr>
        <w:t>机构设置及人员情况</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kern w:val="0"/>
          <w:sz w:val="32"/>
          <w:szCs w:val="32"/>
        </w:rPr>
      </w:pPr>
      <w:r>
        <w:rPr>
          <w:rFonts w:hint="eastAsia" w:ascii="仿宋_GB2312" w:hAnsi="Times New Roman" w:eastAsia="仿宋_GB2312" w:cs="仿宋_GB2312"/>
          <w:b/>
          <w:kern w:val="0"/>
          <w:sz w:val="32"/>
          <w:szCs w:val="32"/>
        </w:rPr>
        <w:t>第二部分 部门决算情况说明</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一、收入支出决算总体情况说明</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二、收入决算情况说明</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三、支出决算情况说明</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四、财政拨款收入支出决算总体情况说明</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五、一般公共预算财政拨款支出决算情况说明</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七、财政拨款</w:t>
      </w:r>
      <w:r>
        <w:rPr>
          <w:rFonts w:hint="default" w:ascii="Times New Roman" w:hAnsi="Times New Roman" w:eastAsia="仿宋_GB2312" w:cs="仿宋_GB2312"/>
          <w:sz w:val="32"/>
          <w:szCs w:val="32"/>
        </w:rPr>
        <w:t>“</w:t>
      </w:r>
      <w:r>
        <w:rPr>
          <w:rFonts w:hint="eastAsia" w:ascii="仿宋_GB2312" w:hAnsi="Times New Roman" w:eastAsia="仿宋_GB2312" w:cs="仿宋_GB2312"/>
          <w:sz w:val="32"/>
          <w:szCs w:val="32"/>
        </w:rPr>
        <w:t>三公</w:t>
      </w:r>
      <w:r>
        <w:rPr>
          <w:rFonts w:hint="default" w:ascii="Times New Roman" w:hAnsi="Times New Roman" w:eastAsia="仿宋_GB2312" w:cs="仿宋_GB2312"/>
          <w:sz w:val="32"/>
          <w:szCs w:val="32"/>
        </w:rPr>
        <w:t>”</w:t>
      </w:r>
      <w:r>
        <w:rPr>
          <w:rFonts w:hint="eastAsia" w:ascii="仿宋_GB2312" w:hAnsi="Times New Roman" w:eastAsia="仿宋_GB2312" w:cs="仿宋_GB2312"/>
          <w:sz w:val="32"/>
          <w:szCs w:val="32"/>
        </w:rPr>
        <w:t>经费支出决算情况说明</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八、政府性基金预算</w:t>
      </w:r>
      <w:r>
        <w:rPr>
          <w:rFonts w:hint="eastAsia" w:ascii="仿宋_GB2312" w:hAnsi="Times New Roman" w:eastAsia="仿宋_GB2312" w:cs="仿宋_GB2312"/>
          <w:sz w:val="32"/>
          <w:szCs w:val="32"/>
          <w:lang w:val="zh-CN"/>
        </w:rPr>
        <w:t>财政拨款</w:t>
      </w:r>
      <w:r>
        <w:rPr>
          <w:rFonts w:hint="eastAsia" w:ascii="仿宋_GB2312" w:hAnsi="Times New Roman" w:eastAsia="仿宋_GB2312" w:cs="仿宋_GB2312"/>
          <w:sz w:val="32"/>
          <w:szCs w:val="32"/>
        </w:rPr>
        <w:t>收入支出决算情况说明</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九、国有资本经营预算财政拨款收入支出决算情况说明</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十、其他重要事项的情况说明</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（一）机关运行经费支出情况</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（二）政府采购情况</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（三）国有资产占用情况说明</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十</w:t>
      </w:r>
      <w:r>
        <w:rPr>
          <w:rFonts w:hint="eastAsia" w:ascii="仿宋_GB2312" w:hAnsi="Times New Roman" w:eastAsia="仿宋_GB2312" w:cs="仿宋_GB2312"/>
          <w:sz w:val="32"/>
          <w:szCs w:val="32"/>
          <w:lang w:val="zh-CN"/>
        </w:rPr>
        <w:t>一</w:t>
      </w:r>
      <w:r>
        <w:rPr>
          <w:rFonts w:hint="eastAsia" w:ascii="仿宋_GB2312" w:hAnsi="Times New Roman" w:eastAsia="仿宋_GB2312" w:cs="仿宋_GB2312"/>
          <w:sz w:val="32"/>
          <w:szCs w:val="32"/>
        </w:rPr>
        <w:t>、预算绩效的情况说明</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b/>
          <w:kern w:val="0"/>
          <w:sz w:val="32"/>
          <w:szCs w:val="32"/>
        </w:rPr>
      </w:pPr>
      <w:r>
        <w:rPr>
          <w:rFonts w:hint="eastAsia" w:ascii="仿宋_GB2312" w:hAnsi="Times New Roman" w:eastAsia="仿宋_GB2312" w:cs="仿宋_GB2312"/>
          <w:b/>
          <w:kern w:val="0"/>
          <w:sz w:val="32"/>
          <w:szCs w:val="32"/>
        </w:rPr>
        <w:t>第三部分 专业名词解释</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b/>
          <w:kern w:val="0"/>
          <w:sz w:val="32"/>
          <w:szCs w:val="32"/>
        </w:rPr>
      </w:pPr>
      <w:r>
        <w:rPr>
          <w:rFonts w:hint="eastAsia" w:ascii="仿宋_GB2312" w:hAnsi="Times New Roman" w:eastAsia="仿宋_GB2312" w:cs="仿宋_GB2312"/>
          <w:b/>
          <w:kern w:val="0"/>
          <w:sz w:val="32"/>
          <w:szCs w:val="32"/>
        </w:rPr>
        <w:t>第四部分 部</w:t>
      </w:r>
      <w:r>
        <w:rPr>
          <w:rFonts w:hint="eastAsia" w:ascii="仿宋_GB2312" w:hAnsi="Times New Roman" w:eastAsia="仿宋_GB2312" w:cs="仿宋_GB2312"/>
          <w:b/>
          <w:sz w:val="32"/>
          <w:szCs w:val="32"/>
        </w:rPr>
        <w:t>门决算报表（见附表）</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一、《收入支出决算总表》</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二、《收入决算表》</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三、《支出决算表》</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四、《财政拨款收入支出决算总表》</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五、《一般公共预算财政拨款支出决算表》</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六、《一般公共预算财政拨款基本支出决算表》</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七、《财政拨款</w:t>
      </w:r>
      <w:r>
        <w:rPr>
          <w:rFonts w:hint="default" w:ascii="Times New Roman" w:hAnsi="Times New Roman" w:eastAsia="仿宋_GB2312" w:cs="仿宋_GB2312"/>
          <w:sz w:val="32"/>
          <w:szCs w:val="32"/>
        </w:rPr>
        <w:t>“</w:t>
      </w:r>
      <w:r>
        <w:rPr>
          <w:rFonts w:hint="eastAsia" w:ascii="仿宋_GB2312" w:hAnsi="Times New Roman" w:eastAsia="仿宋_GB2312" w:cs="仿宋_GB2312"/>
          <w:sz w:val="32"/>
          <w:szCs w:val="32"/>
        </w:rPr>
        <w:t>三公</w:t>
      </w:r>
      <w:r>
        <w:rPr>
          <w:rFonts w:hint="default" w:ascii="Times New Roman" w:hAnsi="Times New Roman" w:eastAsia="仿宋_GB2312" w:cs="仿宋_GB2312"/>
          <w:sz w:val="32"/>
          <w:szCs w:val="32"/>
        </w:rPr>
        <w:t>”</w:t>
      </w:r>
      <w:r>
        <w:rPr>
          <w:rFonts w:hint="eastAsia" w:ascii="仿宋_GB2312" w:hAnsi="Times New Roman" w:eastAsia="仿宋_GB2312" w:cs="仿宋_GB2312"/>
          <w:sz w:val="32"/>
          <w:szCs w:val="32"/>
        </w:rPr>
        <w:t>经费支出决算表》</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八、《政府性基金预算财政拨款收入支出决算表》</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九、《国有资本经营预算财政拨款收入支出决算表》</w:t>
      </w:r>
    </w:p>
    <w:p>
      <w:pPr>
        <w:rPr>
          <w:rFonts w:hint="eastAsia" w:ascii="黑体" w:hAnsi="Times New Roman" w:eastAsia="黑体" w:cs="黑体"/>
          <w:kern w:val="0"/>
          <w:sz w:val="32"/>
          <w:szCs w:val="32"/>
        </w:rPr>
      </w:pPr>
      <w:r>
        <w:rPr>
          <w:rFonts w:hint="eastAsia" w:ascii="黑体" w:hAnsi="Times New Roman" w:eastAsia="黑体" w:cs="黑体"/>
          <w:kern w:val="0"/>
          <w:sz w:val="32"/>
          <w:szCs w:val="32"/>
        </w:rPr>
        <w:br w:type="page"/>
      </w:r>
    </w:p>
    <w:p>
      <w:pPr>
        <w:shd w:val="clear" w:color="auto" w:fill="FFFFFF"/>
        <w:autoSpaceDE w:val="0"/>
        <w:autoSpaceDN w:val="0"/>
        <w:adjustRightInd w:val="0"/>
        <w:spacing w:beforeLines="0" w:afterLines="0" w:line="360" w:lineRule="auto"/>
        <w:jc w:val="center"/>
        <w:rPr>
          <w:rFonts w:hint="cs" w:eastAsia="黑体" w:cs="黑体"/>
          <w:kern w:val="0"/>
          <w:sz w:val="32"/>
          <w:szCs w:val="32"/>
          <w:rtl/>
          <w:lang w:val="ar-SA"/>
        </w:rPr>
      </w:pPr>
      <w:r>
        <w:rPr>
          <w:rFonts w:hint="eastAsia" w:ascii="黑体" w:hAnsi="Times New Roman" w:eastAsia="黑体" w:cs="黑体"/>
          <w:kern w:val="0"/>
          <w:sz w:val="32"/>
          <w:szCs w:val="32"/>
        </w:rPr>
        <w:t>第一部分 单位概况</w:t>
      </w:r>
    </w:p>
    <w:p>
      <w:pPr>
        <w:autoSpaceDE w:val="0"/>
        <w:autoSpaceDN w:val="0"/>
        <w:adjustRightInd w:val="0"/>
        <w:spacing w:beforeLines="0" w:afterLines="0" w:line="360" w:lineRule="auto"/>
        <w:ind w:firstLine="640"/>
        <w:rPr>
          <w:rFonts w:hint="default" w:ascii="Times New Roman" w:hAnsi="Times New Roman" w:eastAsia="黑体"/>
          <w:sz w:val="32"/>
          <w:szCs w:val="32"/>
          <w:highlight w:val="none"/>
          <w:lang w:val="zh-CN"/>
        </w:rPr>
      </w:pPr>
      <w:r>
        <w:rPr>
          <w:rFonts w:hint="eastAsia" w:ascii="黑体" w:hAnsi="Times New Roman" w:eastAsia="黑体" w:cs="黑体"/>
          <w:sz w:val="32"/>
          <w:szCs w:val="32"/>
          <w:highlight w:val="none"/>
          <w:lang w:val="zh-CN"/>
        </w:rPr>
        <w:t>一、主要职能</w:t>
      </w:r>
    </w:p>
    <w:p>
      <w:pPr>
        <w:shd w:val="clear" w:color="auto" w:fill="FFFFFF"/>
        <w:autoSpaceDE w:val="0"/>
        <w:autoSpaceDN w:val="0"/>
        <w:adjustRightInd w:val="0"/>
        <w:spacing w:beforeLines="0" w:afterLines="0" w:line="360" w:lineRule="auto"/>
        <w:ind w:firstLine="640"/>
        <w:rPr>
          <w:rFonts w:hint="default" w:ascii="仿宋_GB2312" w:hAnsi="Times New Roman" w:eastAsia="仿宋_GB2312" w:cs="仿宋_GB2312"/>
          <w:kern w:val="0"/>
          <w:sz w:val="32"/>
          <w:szCs w:val="32"/>
          <w:lang w:val="zh-CN"/>
        </w:rPr>
      </w:pPr>
      <w:r>
        <w:rPr>
          <w:rFonts w:hint="default" w:ascii="仿宋_GB2312" w:hAnsi="Times New Roman" w:eastAsia="仿宋_GB2312" w:cs="仿宋_GB2312"/>
          <w:kern w:val="0"/>
          <w:sz w:val="32"/>
          <w:szCs w:val="32"/>
          <w:lang w:val="zh-CN"/>
        </w:rPr>
        <w:t>1.贯彻执行国家司法行政工作的方针、政策，研究制定本区司法行政工作中长期规划、工作要点并组织实施。</w:t>
      </w:r>
    </w:p>
    <w:p>
      <w:pPr>
        <w:shd w:val="clear" w:color="auto" w:fill="FFFFFF"/>
        <w:autoSpaceDE w:val="0"/>
        <w:autoSpaceDN w:val="0"/>
        <w:adjustRightInd w:val="0"/>
        <w:spacing w:beforeLines="0" w:afterLines="0" w:line="360" w:lineRule="auto"/>
        <w:ind w:firstLine="640"/>
        <w:rPr>
          <w:rFonts w:hint="default" w:ascii="仿宋_GB2312" w:hAnsi="Times New Roman" w:eastAsia="仿宋_GB2312" w:cs="仿宋_GB2312"/>
          <w:kern w:val="0"/>
          <w:sz w:val="32"/>
          <w:szCs w:val="32"/>
          <w:lang w:val="zh-CN"/>
        </w:rPr>
      </w:pPr>
      <w:r>
        <w:rPr>
          <w:rFonts w:hint="default" w:ascii="仿宋_GB2312" w:hAnsi="Times New Roman" w:eastAsia="仿宋_GB2312" w:cs="仿宋_GB2312"/>
          <w:kern w:val="0"/>
          <w:sz w:val="32"/>
          <w:szCs w:val="32"/>
          <w:lang w:val="zh-CN"/>
        </w:rPr>
        <w:t>2.制定法制宣传教育和普法依法治区工作规划，并组织实施，指导本区基层和各行业依法合理工作，负责法制宣传，法制教育工作。</w:t>
      </w:r>
    </w:p>
    <w:p>
      <w:pPr>
        <w:shd w:val="clear" w:color="auto" w:fill="FFFFFF"/>
        <w:autoSpaceDE w:val="0"/>
        <w:autoSpaceDN w:val="0"/>
        <w:adjustRightInd w:val="0"/>
        <w:spacing w:beforeLines="0" w:afterLines="0" w:line="360" w:lineRule="auto"/>
        <w:ind w:firstLine="640"/>
        <w:rPr>
          <w:rFonts w:hint="default" w:ascii="仿宋_GB2312" w:hAnsi="Times New Roman" w:eastAsia="仿宋_GB2312" w:cs="仿宋_GB2312"/>
          <w:kern w:val="0"/>
          <w:sz w:val="32"/>
          <w:szCs w:val="32"/>
          <w:lang w:val="zh-CN"/>
        </w:rPr>
      </w:pPr>
      <w:r>
        <w:rPr>
          <w:rFonts w:hint="default" w:ascii="仿宋_GB2312" w:hAnsi="Times New Roman" w:eastAsia="仿宋_GB2312" w:cs="仿宋_GB2312"/>
          <w:kern w:val="0"/>
          <w:sz w:val="32"/>
          <w:szCs w:val="32"/>
          <w:lang w:val="zh-CN"/>
        </w:rPr>
        <w:t>3.加强对本区人民调解组织工作的管理，管理本区基层司法所和法律服务所工作，监督法律服务工作者的职业道德和职业纪律；开展对刑释解教人员安置帮教工作，参与社会治安综合治理工作。</w:t>
      </w:r>
    </w:p>
    <w:p>
      <w:pPr>
        <w:shd w:val="clear" w:color="auto" w:fill="FFFFFF"/>
        <w:autoSpaceDE w:val="0"/>
        <w:autoSpaceDN w:val="0"/>
        <w:adjustRightInd w:val="0"/>
        <w:spacing w:beforeLines="0" w:afterLines="0" w:line="360" w:lineRule="auto"/>
        <w:ind w:firstLine="640"/>
        <w:rPr>
          <w:rFonts w:hint="default" w:ascii="仿宋_GB2312" w:hAnsi="Times New Roman" w:eastAsia="仿宋_GB2312" w:cs="仿宋_GB2312"/>
          <w:kern w:val="0"/>
          <w:sz w:val="32"/>
          <w:szCs w:val="32"/>
          <w:lang w:val="zh-CN"/>
        </w:rPr>
      </w:pPr>
      <w:r>
        <w:rPr>
          <w:rFonts w:hint="default" w:ascii="仿宋_GB2312" w:hAnsi="Times New Roman" w:eastAsia="仿宋_GB2312" w:cs="仿宋_GB2312"/>
          <w:kern w:val="0"/>
          <w:sz w:val="32"/>
          <w:szCs w:val="32"/>
          <w:lang w:val="zh-CN"/>
        </w:rPr>
        <w:t>4.监督律师事务所及从业人员的职业道德和执业纪律，综合管理社会法律服务机构。</w:t>
      </w:r>
    </w:p>
    <w:p>
      <w:pPr>
        <w:shd w:val="clear" w:color="auto" w:fill="FFFFFF"/>
        <w:autoSpaceDE w:val="0"/>
        <w:autoSpaceDN w:val="0"/>
        <w:adjustRightInd w:val="0"/>
        <w:spacing w:beforeLines="0" w:afterLines="0" w:line="360" w:lineRule="auto"/>
        <w:ind w:firstLine="640"/>
        <w:rPr>
          <w:rFonts w:hint="default" w:ascii="仿宋_GB2312" w:hAnsi="Times New Roman" w:eastAsia="仿宋_GB2312" w:cs="仿宋_GB2312"/>
          <w:kern w:val="0"/>
          <w:sz w:val="32"/>
          <w:szCs w:val="32"/>
          <w:lang w:val="zh-CN"/>
        </w:rPr>
      </w:pPr>
      <w:r>
        <w:rPr>
          <w:rFonts w:hint="default" w:ascii="仿宋_GB2312" w:hAnsi="Times New Roman" w:eastAsia="仿宋_GB2312" w:cs="仿宋_GB2312"/>
          <w:kern w:val="0"/>
          <w:sz w:val="32"/>
          <w:szCs w:val="32"/>
          <w:lang w:val="zh-CN"/>
        </w:rPr>
        <w:t>5.监督公证机构及公证人员的职业道德和执业纪律。</w:t>
      </w:r>
    </w:p>
    <w:p>
      <w:pPr>
        <w:shd w:val="clear" w:color="auto" w:fill="FFFFFF"/>
        <w:autoSpaceDE w:val="0"/>
        <w:autoSpaceDN w:val="0"/>
        <w:adjustRightInd w:val="0"/>
        <w:spacing w:beforeLines="0" w:afterLines="0" w:line="360" w:lineRule="auto"/>
        <w:ind w:firstLine="640"/>
        <w:rPr>
          <w:rFonts w:hint="default" w:ascii="仿宋_GB2312" w:hAnsi="Times New Roman" w:eastAsia="仿宋_GB2312" w:cs="仿宋_GB2312"/>
          <w:kern w:val="0"/>
          <w:sz w:val="32"/>
          <w:szCs w:val="32"/>
          <w:lang w:val="zh-CN"/>
        </w:rPr>
      </w:pPr>
      <w:r>
        <w:rPr>
          <w:rFonts w:hint="default" w:ascii="仿宋_GB2312" w:hAnsi="Times New Roman" w:eastAsia="仿宋_GB2312" w:cs="仿宋_GB2312"/>
          <w:kern w:val="0"/>
          <w:sz w:val="32"/>
          <w:szCs w:val="32"/>
          <w:lang w:val="zh-CN"/>
        </w:rPr>
        <w:t>6.根据上级委托，组织法律服务从业人员为区委和区人民政府提供法律服务，为上级依法决策提供法律咨询。</w:t>
      </w:r>
    </w:p>
    <w:p>
      <w:pPr>
        <w:shd w:val="clear" w:color="auto" w:fill="FFFFFF"/>
        <w:autoSpaceDE w:val="0"/>
        <w:autoSpaceDN w:val="0"/>
        <w:adjustRightInd w:val="0"/>
        <w:spacing w:beforeLines="0" w:afterLines="0" w:line="360" w:lineRule="auto"/>
        <w:ind w:firstLine="640"/>
        <w:rPr>
          <w:rFonts w:hint="default" w:ascii="仿宋_GB2312" w:hAnsi="Times New Roman" w:eastAsia="仿宋_GB2312" w:cs="仿宋_GB2312"/>
          <w:kern w:val="0"/>
          <w:sz w:val="32"/>
          <w:szCs w:val="32"/>
          <w:lang w:val="zh-CN"/>
        </w:rPr>
      </w:pPr>
      <w:r>
        <w:rPr>
          <w:rFonts w:hint="default" w:ascii="仿宋_GB2312" w:hAnsi="Times New Roman" w:eastAsia="仿宋_GB2312" w:cs="仿宋_GB2312"/>
          <w:kern w:val="0"/>
          <w:sz w:val="32"/>
          <w:szCs w:val="32"/>
          <w:lang w:val="zh-CN"/>
        </w:rPr>
        <w:t>7.配合上级业务部门和区纪检监察部门做好干警违法违纪的查处工作。</w:t>
      </w:r>
    </w:p>
    <w:p>
      <w:pPr>
        <w:shd w:val="clear" w:color="auto" w:fill="FFFFFF"/>
        <w:autoSpaceDE w:val="0"/>
        <w:autoSpaceDN w:val="0"/>
        <w:adjustRightInd w:val="0"/>
        <w:spacing w:beforeLines="0" w:afterLines="0" w:line="360" w:lineRule="auto"/>
        <w:ind w:firstLine="640"/>
        <w:rPr>
          <w:rFonts w:hint="default" w:ascii="仿宋_GB2312" w:hAnsi="Times New Roman" w:eastAsia="仿宋_GB2312" w:cs="仿宋_GB2312"/>
          <w:kern w:val="0"/>
          <w:sz w:val="32"/>
          <w:szCs w:val="32"/>
          <w:lang w:val="zh-CN"/>
        </w:rPr>
      </w:pPr>
      <w:r>
        <w:rPr>
          <w:rFonts w:hint="default" w:ascii="仿宋_GB2312" w:hAnsi="Times New Roman" w:eastAsia="仿宋_GB2312" w:cs="仿宋_GB2312"/>
          <w:kern w:val="0"/>
          <w:sz w:val="32"/>
          <w:szCs w:val="32"/>
          <w:lang w:val="zh-CN"/>
        </w:rPr>
        <w:t>8.开展法律援助工作，对符合援助条件的当事人，提供法律援助。</w:t>
      </w:r>
    </w:p>
    <w:p>
      <w:pPr>
        <w:shd w:val="clear" w:color="auto" w:fill="FFFFFF"/>
        <w:autoSpaceDE w:val="0"/>
        <w:autoSpaceDN w:val="0"/>
        <w:adjustRightInd w:val="0"/>
        <w:spacing w:beforeLines="0" w:afterLines="0" w:line="360" w:lineRule="auto"/>
        <w:ind w:firstLine="640"/>
        <w:rPr>
          <w:rFonts w:hint="default" w:ascii="仿宋_GB2312" w:hAnsi="Times New Roman" w:eastAsia="仿宋_GB2312" w:cs="仿宋_GB2312"/>
          <w:kern w:val="0"/>
          <w:sz w:val="32"/>
          <w:szCs w:val="32"/>
          <w:lang w:val="zh-CN"/>
        </w:rPr>
      </w:pPr>
      <w:r>
        <w:rPr>
          <w:rFonts w:hint="default" w:ascii="仿宋_GB2312" w:hAnsi="Times New Roman" w:eastAsia="仿宋_GB2312" w:cs="仿宋_GB2312"/>
          <w:kern w:val="0"/>
          <w:sz w:val="32"/>
          <w:szCs w:val="32"/>
          <w:lang w:val="zh-CN"/>
        </w:rPr>
        <w:t>9.承办区委和区人民政府交办的其它工作。</w:t>
      </w:r>
    </w:p>
    <w:p>
      <w:pPr>
        <w:autoSpaceDE w:val="0"/>
        <w:autoSpaceDN w:val="0"/>
        <w:adjustRightInd w:val="0"/>
        <w:spacing w:beforeLines="0" w:afterLines="0" w:line="360" w:lineRule="auto"/>
        <w:ind w:firstLine="640"/>
        <w:rPr>
          <w:rFonts w:hint="default" w:ascii="Times New Roman" w:hAnsi="Times New Roman" w:eastAsia="黑体"/>
          <w:sz w:val="32"/>
          <w:szCs w:val="32"/>
          <w:lang w:val="zh-CN"/>
        </w:rPr>
      </w:pPr>
      <w:r>
        <w:rPr>
          <w:rFonts w:hint="eastAsia" w:ascii="黑体" w:hAnsi="Times New Roman" w:eastAsia="黑体" w:cs="黑体"/>
          <w:sz w:val="32"/>
          <w:szCs w:val="32"/>
          <w:lang w:val="zh-CN"/>
        </w:rPr>
        <w:t>二、机构设置及人员情况</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highlight w:val="none"/>
        </w:rPr>
      </w:pPr>
      <w:r>
        <w:rPr>
          <w:rFonts w:hint="eastAsia" w:ascii="仿宋_GB2312" w:hAnsi="Times New Roman" w:eastAsia="仿宋_GB2312" w:cs="仿宋_GB2312"/>
          <w:kern w:val="0"/>
          <w:sz w:val="32"/>
          <w:szCs w:val="32"/>
        </w:rPr>
        <w:t>乌鲁木齐市</w:t>
      </w:r>
      <w:r>
        <w:rPr>
          <w:rFonts w:hint="eastAsia" w:ascii="仿宋_GB2312" w:hAnsi="Times New Roman" w:eastAsia="仿宋_GB2312" w:cs="仿宋_GB2312"/>
          <w:kern w:val="0"/>
          <w:sz w:val="32"/>
          <w:szCs w:val="32"/>
          <w:highlight w:val="none"/>
        </w:rPr>
        <w:t>米东区司法局2022年度，实有人数59人，其中：在职人员32人，离休人员0人，退休人员27人。</w:t>
      </w:r>
    </w:p>
    <w:p>
      <w:pPr>
        <w:shd w:val="clear" w:color="auto" w:fill="FFFFFF"/>
        <w:autoSpaceDE w:val="0"/>
        <w:autoSpaceDN w:val="0"/>
        <w:adjustRightInd w:val="0"/>
        <w:spacing w:beforeLines="0" w:afterLines="0" w:line="360" w:lineRule="auto"/>
        <w:ind w:firstLine="640"/>
        <w:rPr>
          <w:rFonts w:hint="cs" w:ascii="Times New Roman"/>
          <w:kern w:val="0"/>
          <w:sz w:val="24"/>
          <w:szCs w:val="24"/>
          <w:highlight w:val="none"/>
          <w:rtl/>
          <w:lang w:val="zh-CN" w:bidi="zh-CN"/>
        </w:rPr>
      </w:pPr>
      <w:r>
        <w:rPr>
          <w:rFonts w:hint="eastAsia" w:ascii="仿宋_GB2312" w:hAnsi="Times New Roman" w:eastAsia="仿宋_GB2312" w:cs="仿宋_GB2312"/>
          <w:kern w:val="0"/>
          <w:sz w:val="32"/>
          <w:szCs w:val="32"/>
          <w:highlight w:val="none"/>
        </w:rPr>
        <w:t>从部门决算单位构成看，乌鲁木齐市米东区司法局部门决算包括：乌鲁木齐市米东区司法局</w:t>
      </w:r>
      <w:r>
        <w:rPr>
          <w:rFonts w:hint="eastAsia" w:ascii="仿宋_GB2312" w:hAnsi="Times New Roman" w:eastAsia="仿宋_GB2312" w:cs="仿宋_GB2312"/>
          <w:kern w:val="0"/>
          <w:sz w:val="32"/>
          <w:szCs w:val="32"/>
          <w:highlight w:val="none"/>
          <w:lang w:val="zh-CN"/>
        </w:rPr>
        <w:t>决算。单位无下属预算单位，下设</w:t>
      </w:r>
      <w:r>
        <w:rPr>
          <w:rFonts w:hint="eastAsia" w:ascii="仿宋_GB2312" w:hAnsi="Times New Roman" w:eastAsia="仿宋_GB2312" w:cs="仿宋_GB2312"/>
          <w:kern w:val="0"/>
          <w:sz w:val="32"/>
          <w:szCs w:val="32"/>
          <w:highlight w:val="none"/>
          <w:lang w:val="en-US" w:eastAsia="zh-CN"/>
        </w:rPr>
        <w:t>2</w:t>
      </w:r>
      <w:r>
        <w:rPr>
          <w:rFonts w:hint="eastAsia" w:ascii="仿宋_GB2312" w:hAnsi="Times New Roman" w:eastAsia="仿宋_GB2312" w:cs="仿宋_GB2312"/>
          <w:kern w:val="0"/>
          <w:sz w:val="32"/>
          <w:szCs w:val="32"/>
          <w:highlight w:val="none"/>
          <w:lang w:val="zh-CN"/>
        </w:rPr>
        <w:t>个科室，分别是：</w:t>
      </w:r>
      <w:r>
        <w:rPr>
          <w:rFonts w:hint="eastAsia" w:ascii="仿宋_GB2312" w:hAnsi="Times New Roman" w:eastAsia="仿宋_GB2312" w:cs="仿宋_GB2312"/>
          <w:kern w:val="0"/>
          <w:sz w:val="32"/>
          <w:szCs w:val="32"/>
          <w:highlight w:val="none"/>
          <w:lang w:val="en-US" w:eastAsia="zh-CN"/>
        </w:rPr>
        <w:t>下派司法所、法律援助中心</w:t>
      </w:r>
      <w:r>
        <w:rPr>
          <w:rFonts w:hint="eastAsia" w:ascii="仿宋_GB2312" w:hAnsi="Times New Roman" w:eastAsia="仿宋_GB2312" w:cs="仿宋_GB2312"/>
          <w:kern w:val="0"/>
          <w:sz w:val="32"/>
          <w:szCs w:val="32"/>
          <w:highlight w:val="none"/>
          <w:lang w:val="zh-CN"/>
        </w:rPr>
        <w:t>。</w:t>
      </w:r>
    </w:p>
    <w:p>
      <w:pPr>
        <w:shd w:val="clear" w:color="auto" w:fill="FFFFFF"/>
        <w:autoSpaceDE w:val="0"/>
        <w:autoSpaceDN w:val="0"/>
        <w:adjustRightInd w:val="0"/>
        <w:spacing w:before="100" w:beforeLines="0" w:after="240" w:afterLines="0"/>
        <w:jc w:val="center"/>
        <w:rPr>
          <w:rFonts w:hint="cs" w:ascii="Times New Roman"/>
          <w:kern w:val="0"/>
          <w:sz w:val="28"/>
          <w:szCs w:val="28"/>
          <w:rtl/>
          <w:lang w:val="ar-SA"/>
        </w:rPr>
      </w:pPr>
      <w:r>
        <w:rPr>
          <w:rFonts w:hint="eastAsia" w:ascii="黑体" w:hAnsi="Times New Roman" w:eastAsia="黑体" w:cs="黑体"/>
          <w:kern w:val="0"/>
          <w:sz w:val="32"/>
          <w:szCs w:val="32"/>
        </w:rPr>
        <w:t>第二部分 部门决算情况说明</w:t>
      </w:r>
    </w:p>
    <w:p>
      <w:pPr>
        <w:autoSpaceDE w:val="0"/>
        <w:autoSpaceDN w:val="0"/>
        <w:adjustRightInd w:val="0"/>
        <w:spacing w:beforeLines="0" w:afterLines="0" w:line="360" w:lineRule="auto"/>
        <w:ind w:firstLine="640"/>
        <w:rPr>
          <w:rFonts w:hint="default" w:ascii="Times New Roman" w:hAnsi="Times New Roman" w:eastAsia="黑体"/>
          <w:sz w:val="32"/>
          <w:szCs w:val="32"/>
          <w:lang w:val="zh-CN"/>
        </w:rPr>
      </w:pPr>
      <w:r>
        <w:rPr>
          <w:rFonts w:hint="eastAsia" w:ascii="黑体" w:hAnsi="Times New Roman" w:eastAsia="黑体" w:cs="黑体"/>
          <w:sz w:val="32"/>
          <w:szCs w:val="32"/>
          <w:lang w:val="zh-CN"/>
        </w:rPr>
        <w:t>一、收入支出决算总体情况说明</w:t>
      </w:r>
    </w:p>
    <w:p>
      <w:pPr>
        <w:shd w:val="clear" w:color="auto" w:fill="FFFFFF"/>
        <w:autoSpaceDE w:val="0"/>
        <w:autoSpaceDN w:val="0"/>
        <w:adjustRightInd w:val="0"/>
        <w:spacing w:beforeLines="0" w:afterLines="0" w:line="360" w:lineRule="auto"/>
        <w:ind w:firstLine="640"/>
        <w:rPr>
          <w:rFonts w:hint="eastAsia" w:ascii="仿宋_GB2312" w:hAnsi="Times New Roman" w:eastAsia="仿宋_GB2312" w:cs="仿宋_GB2312"/>
          <w:kern w:val="0"/>
          <w:sz w:val="32"/>
          <w:szCs w:val="32"/>
          <w:highlight w:val="none"/>
        </w:rPr>
      </w:pPr>
      <w:r>
        <w:rPr>
          <w:rFonts w:hint="eastAsia" w:ascii="仿宋_GB2312" w:hAnsi="Times New Roman" w:eastAsia="仿宋_GB2312" w:cs="仿宋_GB2312"/>
          <w:kern w:val="0"/>
          <w:sz w:val="32"/>
          <w:szCs w:val="32"/>
        </w:rPr>
        <w:t>2022年度收入</w:t>
      </w:r>
      <w:r>
        <w:rPr>
          <w:rFonts w:hint="eastAsia" w:ascii="仿宋_GB2312" w:hAnsi="Times New Roman" w:eastAsia="仿宋_GB2312" w:cs="仿宋_GB2312"/>
          <w:sz w:val="32"/>
          <w:szCs w:val="32"/>
        </w:rPr>
        <w:t>总计</w:t>
      </w:r>
      <w:r>
        <w:rPr>
          <w:rFonts w:hint="eastAsia" w:ascii="仿宋_GB2312" w:hAnsi="Times New Roman" w:eastAsia="仿宋_GB2312" w:cs="仿宋_GB2312"/>
          <w:kern w:val="0"/>
          <w:sz w:val="32"/>
          <w:szCs w:val="32"/>
        </w:rPr>
        <w:t>1,021.58万元，</w:t>
      </w:r>
      <w:r>
        <w:rPr>
          <w:rFonts w:hint="eastAsia" w:ascii="仿宋_GB2312" w:hAnsi="Times New Roman" w:eastAsia="仿宋_GB2312" w:cs="仿宋_GB2312"/>
          <w:sz w:val="32"/>
          <w:szCs w:val="32"/>
        </w:rPr>
        <w:t>其中：本年收入合计</w:t>
      </w:r>
      <w:r>
        <w:rPr>
          <w:rFonts w:hint="eastAsia" w:ascii="仿宋_GB2312" w:hAnsi="Times New Roman" w:eastAsia="仿宋_GB2312" w:cs="仿宋_GB2312"/>
          <w:kern w:val="0"/>
          <w:sz w:val="32"/>
          <w:szCs w:val="32"/>
        </w:rPr>
        <w:t>775.69</w:t>
      </w:r>
      <w:r>
        <w:rPr>
          <w:rFonts w:hint="eastAsia" w:ascii="仿宋_GB2312" w:hAnsi="Times New Roman" w:eastAsia="仿宋_GB2312" w:cs="仿宋_GB2312"/>
          <w:sz w:val="32"/>
          <w:szCs w:val="32"/>
        </w:rPr>
        <w:t>万元，使用非财政拨款结余</w:t>
      </w:r>
      <w:r>
        <w:rPr>
          <w:rFonts w:hint="eastAsia" w:ascii="仿宋_GB2312" w:hAnsi="Times New Roman" w:eastAsia="仿宋_GB2312" w:cs="仿宋_GB2312"/>
          <w:kern w:val="0"/>
          <w:sz w:val="32"/>
          <w:szCs w:val="32"/>
        </w:rPr>
        <w:t>0.00</w:t>
      </w:r>
      <w:r>
        <w:rPr>
          <w:rFonts w:hint="eastAsia" w:ascii="仿宋_GB2312" w:hAnsi="Times New Roman" w:eastAsia="仿宋_GB2312" w:cs="仿宋_GB2312"/>
          <w:sz w:val="32"/>
          <w:szCs w:val="32"/>
        </w:rPr>
        <w:t>万元，年初结转和结余</w:t>
      </w:r>
      <w:r>
        <w:rPr>
          <w:rFonts w:hint="eastAsia" w:ascii="仿宋_GB2312" w:hAnsi="Times New Roman" w:eastAsia="仿宋_GB2312" w:cs="仿宋_GB2312"/>
          <w:kern w:val="0"/>
          <w:sz w:val="32"/>
          <w:szCs w:val="32"/>
        </w:rPr>
        <w:t>245.89</w:t>
      </w:r>
      <w:r>
        <w:rPr>
          <w:rFonts w:hint="eastAsia" w:ascii="仿宋_GB2312" w:hAnsi="Times New Roman" w:eastAsia="仿宋_GB2312" w:cs="仿宋_GB2312"/>
          <w:sz w:val="32"/>
          <w:szCs w:val="32"/>
        </w:rPr>
        <w:t>万元。收入总计</w:t>
      </w:r>
      <w:r>
        <w:rPr>
          <w:rFonts w:hint="eastAsia" w:ascii="仿宋_GB2312" w:hAnsi="Times New Roman" w:eastAsia="仿宋_GB2312" w:cs="仿宋_GB2312"/>
          <w:kern w:val="0"/>
          <w:sz w:val="32"/>
          <w:szCs w:val="32"/>
        </w:rPr>
        <w:t>与上年相比，减少391.90万元，下降27.73%</w:t>
      </w:r>
      <w:r>
        <w:rPr>
          <w:rFonts w:hint="eastAsia" w:ascii="仿宋_GB2312" w:hAnsi="Times New Roman" w:eastAsia="仿宋_GB2312" w:cs="仿宋_GB2312"/>
          <w:kern w:val="0"/>
          <w:sz w:val="32"/>
          <w:szCs w:val="32"/>
          <w:highlight w:val="none"/>
        </w:rPr>
        <w:t>，主要原因是：</w:t>
      </w:r>
      <w:r>
        <w:rPr>
          <w:rFonts w:hint="eastAsia" w:ascii="仿宋_GB2312" w:hAnsi="Times New Roman" w:eastAsia="仿宋_GB2312" w:cs="仿宋_GB2312"/>
          <w:kern w:val="0"/>
          <w:sz w:val="32"/>
          <w:szCs w:val="32"/>
          <w:highlight w:val="none"/>
          <w:lang w:val="en-US" w:eastAsia="zh-CN"/>
        </w:rPr>
        <w:t>本年减少</w:t>
      </w:r>
      <w:r>
        <w:rPr>
          <w:rFonts w:hint="eastAsia" w:ascii="仿宋_GB2312" w:hAnsi="Times New Roman" w:eastAsia="仿宋_GB2312" w:cs="仿宋_GB2312"/>
          <w:kern w:val="0"/>
          <w:sz w:val="32"/>
          <w:szCs w:val="32"/>
          <w:highlight w:val="none"/>
        </w:rPr>
        <w:t>人民司法调解经费</w:t>
      </w:r>
      <w:r>
        <w:rPr>
          <w:rFonts w:hint="eastAsia" w:ascii="仿宋_GB2312" w:hAnsi="Times New Roman" w:eastAsia="仿宋_GB2312" w:cs="仿宋_GB2312"/>
          <w:kern w:val="0"/>
          <w:sz w:val="32"/>
          <w:szCs w:val="32"/>
          <w:highlight w:val="none"/>
          <w:lang w:val="en-US" w:eastAsia="zh-CN"/>
        </w:rPr>
        <w:t>项目，2022年中央政法纪检监察转移支付资金拨款减少，收入减少</w:t>
      </w:r>
      <w:r>
        <w:rPr>
          <w:rFonts w:hint="eastAsia" w:ascii="仿宋_GB2312" w:hAnsi="Times New Roman" w:eastAsia="仿宋_GB2312" w:cs="仿宋_GB2312"/>
          <w:kern w:val="0"/>
          <w:sz w:val="32"/>
          <w:szCs w:val="32"/>
          <w:highlight w:val="none"/>
        </w:rPr>
        <w:t>。</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highlight w:val="none"/>
        </w:rPr>
      </w:pPr>
      <w:r>
        <w:rPr>
          <w:rFonts w:hint="eastAsia" w:ascii="仿宋_GB2312" w:hAnsi="Times New Roman" w:eastAsia="仿宋_GB2312" w:cs="仿宋_GB2312"/>
          <w:sz w:val="32"/>
          <w:szCs w:val="32"/>
          <w:highlight w:val="none"/>
        </w:rPr>
        <w:t>本年支出总计</w:t>
      </w:r>
      <w:r>
        <w:rPr>
          <w:rFonts w:hint="eastAsia" w:ascii="仿宋_GB2312" w:hAnsi="Times New Roman" w:eastAsia="仿宋_GB2312" w:cs="仿宋_GB2312"/>
          <w:kern w:val="0"/>
          <w:sz w:val="32"/>
          <w:szCs w:val="32"/>
          <w:highlight w:val="none"/>
        </w:rPr>
        <w:t>1,021.58万元，</w:t>
      </w:r>
      <w:r>
        <w:rPr>
          <w:rFonts w:hint="eastAsia" w:ascii="仿宋_GB2312" w:hAnsi="Times New Roman" w:eastAsia="仿宋_GB2312" w:cs="仿宋_GB2312"/>
          <w:sz w:val="32"/>
          <w:szCs w:val="32"/>
          <w:highlight w:val="none"/>
        </w:rPr>
        <w:t>其中：本年支出合计</w:t>
      </w:r>
      <w:r>
        <w:rPr>
          <w:rFonts w:hint="eastAsia" w:ascii="仿宋_GB2312" w:hAnsi="Times New Roman" w:eastAsia="仿宋_GB2312" w:cs="仿宋_GB2312"/>
          <w:kern w:val="0"/>
          <w:sz w:val="32"/>
          <w:szCs w:val="32"/>
          <w:highlight w:val="none"/>
        </w:rPr>
        <w:t>781.09</w:t>
      </w:r>
      <w:r>
        <w:rPr>
          <w:rFonts w:hint="eastAsia" w:ascii="仿宋_GB2312" w:hAnsi="Times New Roman" w:eastAsia="仿宋_GB2312" w:cs="仿宋_GB2312"/>
          <w:sz w:val="32"/>
          <w:szCs w:val="32"/>
          <w:highlight w:val="none"/>
        </w:rPr>
        <w:t>万元，结余分配</w:t>
      </w:r>
      <w:r>
        <w:rPr>
          <w:rFonts w:hint="eastAsia" w:ascii="仿宋_GB2312" w:hAnsi="Times New Roman" w:eastAsia="仿宋_GB2312" w:cs="仿宋_GB2312"/>
          <w:kern w:val="0"/>
          <w:sz w:val="32"/>
          <w:szCs w:val="32"/>
          <w:highlight w:val="none"/>
        </w:rPr>
        <w:t>0.00</w:t>
      </w:r>
      <w:r>
        <w:rPr>
          <w:rFonts w:hint="eastAsia" w:ascii="仿宋_GB2312" w:hAnsi="Times New Roman" w:eastAsia="仿宋_GB2312" w:cs="仿宋_GB2312"/>
          <w:sz w:val="32"/>
          <w:szCs w:val="32"/>
          <w:highlight w:val="none"/>
        </w:rPr>
        <w:t>万元，年末结转和结余</w:t>
      </w:r>
      <w:r>
        <w:rPr>
          <w:rFonts w:hint="eastAsia" w:ascii="仿宋_GB2312" w:hAnsi="Times New Roman" w:eastAsia="仿宋_GB2312" w:cs="仿宋_GB2312"/>
          <w:kern w:val="0"/>
          <w:sz w:val="32"/>
          <w:szCs w:val="32"/>
          <w:highlight w:val="none"/>
        </w:rPr>
        <w:t>240.49</w:t>
      </w:r>
      <w:r>
        <w:rPr>
          <w:rFonts w:hint="eastAsia" w:ascii="仿宋_GB2312" w:hAnsi="Times New Roman" w:eastAsia="仿宋_GB2312" w:cs="仿宋_GB2312"/>
          <w:sz w:val="32"/>
          <w:szCs w:val="32"/>
          <w:highlight w:val="none"/>
        </w:rPr>
        <w:t>万元。支出总计</w:t>
      </w:r>
      <w:r>
        <w:rPr>
          <w:rFonts w:hint="eastAsia" w:ascii="仿宋_GB2312" w:hAnsi="Times New Roman" w:eastAsia="仿宋_GB2312" w:cs="仿宋_GB2312"/>
          <w:kern w:val="0"/>
          <w:sz w:val="32"/>
          <w:szCs w:val="32"/>
          <w:highlight w:val="none"/>
        </w:rPr>
        <w:t>与上年相比，减少391.90万元，下降27.73%，主要原因是：</w:t>
      </w:r>
      <w:r>
        <w:rPr>
          <w:rFonts w:hint="eastAsia" w:ascii="仿宋_GB2312" w:hAnsi="Times New Roman" w:eastAsia="仿宋_GB2312" w:cs="仿宋_GB2312"/>
          <w:kern w:val="0"/>
          <w:sz w:val="32"/>
          <w:szCs w:val="32"/>
          <w:highlight w:val="none"/>
          <w:lang w:val="en-US" w:eastAsia="zh-CN"/>
        </w:rPr>
        <w:t>本年减少</w:t>
      </w:r>
      <w:r>
        <w:rPr>
          <w:rFonts w:hint="eastAsia" w:ascii="仿宋_GB2312" w:hAnsi="Times New Roman" w:eastAsia="仿宋_GB2312" w:cs="仿宋_GB2312"/>
          <w:kern w:val="0"/>
          <w:sz w:val="32"/>
          <w:szCs w:val="32"/>
          <w:highlight w:val="none"/>
        </w:rPr>
        <w:t>人民司法调解经费</w:t>
      </w:r>
      <w:r>
        <w:rPr>
          <w:rFonts w:hint="eastAsia" w:ascii="仿宋_GB2312" w:hAnsi="Times New Roman" w:eastAsia="仿宋_GB2312" w:cs="仿宋_GB2312"/>
          <w:kern w:val="0"/>
          <w:sz w:val="32"/>
          <w:szCs w:val="32"/>
          <w:highlight w:val="none"/>
          <w:lang w:val="en-US" w:eastAsia="zh-CN"/>
        </w:rPr>
        <w:t>项目，2022年中央政法纪检监察转移支付资金拨款减少，支出减少</w:t>
      </w:r>
      <w:r>
        <w:rPr>
          <w:rFonts w:hint="eastAsia" w:ascii="仿宋_GB2312" w:hAnsi="Times New Roman" w:eastAsia="仿宋_GB2312" w:cs="仿宋_GB2312"/>
          <w:kern w:val="0"/>
          <w:sz w:val="32"/>
          <w:szCs w:val="32"/>
          <w:highlight w:val="none"/>
        </w:rPr>
        <w:t>。</w:t>
      </w:r>
    </w:p>
    <w:p>
      <w:pPr>
        <w:autoSpaceDE w:val="0"/>
        <w:autoSpaceDN w:val="0"/>
        <w:adjustRightInd w:val="0"/>
        <w:spacing w:beforeLines="0" w:afterLines="0" w:line="360" w:lineRule="auto"/>
        <w:ind w:firstLine="640"/>
        <w:rPr>
          <w:rFonts w:hint="default" w:ascii="Times New Roman" w:hAnsi="Times New Roman" w:eastAsia="黑体"/>
          <w:sz w:val="32"/>
          <w:szCs w:val="32"/>
        </w:rPr>
      </w:pPr>
      <w:r>
        <w:rPr>
          <w:rFonts w:hint="eastAsia" w:ascii="黑体" w:hAnsi="Times New Roman" w:eastAsia="黑体" w:cs="黑体"/>
          <w:sz w:val="32"/>
          <w:szCs w:val="32"/>
          <w:lang w:val="zh-CN"/>
        </w:rPr>
        <w:t>二、收入决算情况说明</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2022年度本年收入775.69万元，其中：财政拨款收入774.19万元，占99.81%；上级补助收入0.00万元，占0.00%；事业收入0.00万元，占0.00%；经营收入0.00万元，占0.00%；附属单位上缴收入0.00万元，占0.00%；其他收入1.50万元，占0.19%。</w:t>
      </w:r>
    </w:p>
    <w:p>
      <w:pPr>
        <w:autoSpaceDE w:val="0"/>
        <w:autoSpaceDN w:val="0"/>
        <w:adjustRightInd w:val="0"/>
        <w:spacing w:beforeLines="0" w:afterLines="0" w:line="360" w:lineRule="auto"/>
        <w:ind w:firstLine="640"/>
        <w:rPr>
          <w:rFonts w:hint="default" w:ascii="Times New Roman" w:hAnsi="Times New Roman" w:eastAsia="黑体"/>
          <w:sz w:val="32"/>
          <w:szCs w:val="32"/>
        </w:rPr>
      </w:pPr>
      <w:r>
        <w:rPr>
          <w:rFonts w:hint="eastAsia" w:ascii="黑体" w:hAnsi="Times New Roman" w:eastAsia="黑体" w:cs="黑体"/>
          <w:sz w:val="32"/>
          <w:szCs w:val="32"/>
          <w:lang w:val="zh-CN"/>
        </w:rPr>
        <w:t>三、支出决算情况说明</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2022年度本年支出781.09万元，其中：基本支出696.52万元，占89.17%；项目支出84.57万元，占10.83%；上缴上级支出0.00万元，占0.00%；经营支出0.00万元，占0.00%；对附属单位补助支出0.00万元，占0.00%。</w:t>
      </w:r>
    </w:p>
    <w:p>
      <w:pPr>
        <w:autoSpaceDE w:val="0"/>
        <w:autoSpaceDN w:val="0"/>
        <w:adjustRightInd w:val="0"/>
        <w:spacing w:beforeLines="0" w:afterLines="0" w:line="360" w:lineRule="auto"/>
        <w:ind w:firstLine="640"/>
        <w:rPr>
          <w:rFonts w:hint="default" w:ascii="Times New Roman" w:hAnsi="Times New Roman" w:eastAsia="黑体"/>
          <w:sz w:val="32"/>
          <w:szCs w:val="32"/>
          <w:lang w:val="zh-CN"/>
        </w:rPr>
      </w:pPr>
      <w:r>
        <w:rPr>
          <w:rFonts w:hint="eastAsia" w:ascii="黑体" w:hAnsi="Times New Roman" w:eastAsia="黑体" w:cs="黑体"/>
          <w:sz w:val="32"/>
          <w:szCs w:val="32"/>
          <w:lang w:val="zh-CN"/>
        </w:rPr>
        <w:t>四、财政拨款收入支出决算总体情况说明</w:t>
      </w:r>
    </w:p>
    <w:p>
      <w:pPr>
        <w:shd w:val="clear" w:color="auto" w:fill="FFFFFF"/>
        <w:autoSpaceDE w:val="0"/>
        <w:autoSpaceDN w:val="0"/>
        <w:adjustRightInd w:val="0"/>
        <w:spacing w:beforeLines="0" w:afterLines="0" w:line="360" w:lineRule="auto"/>
        <w:ind w:firstLine="640"/>
        <w:rPr>
          <w:rFonts w:hint="eastAsia" w:ascii="仿宋_GB2312" w:hAnsi="Times New Roman" w:eastAsia="仿宋_GB2312" w:cs="仿宋_GB2312"/>
          <w:kern w:val="0"/>
          <w:sz w:val="32"/>
          <w:szCs w:val="32"/>
          <w:highlight w:val="none"/>
        </w:rPr>
      </w:pPr>
      <w:r>
        <w:rPr>
          <w:rFonts w:hint="eastAsia" w:ascii="仿宋_GB2312" w:hAnsi="Times New Roman" w:eastAsia="仿宋_GB2312" w:cs="仿宋_GB2312"/>
          <w:kern w:val="0"/>
          <w:sz w:val="32"/>
          <w:szCs w:val="32"/>
        </w:rPr>
        <w:t>2022年度财政拨款收入</w:t>
      </w:r>
      <w:r>
        <w:rPr>
          <w:rFonts w:hint="eastAsia" w:ascii="仿宋_GB2312" w:hAnsi="Times New Roman" w:eastAsia="仿宋_GB2312" w:cs="仿宋_GB2312"/>
          <w:sz w:val="32"/>
          <w:szCs w:val="32"/>
        </w:rPr>
        <w:t>总计</w:t>
      </w:r>
      <w:r>
        <w:rPr>
          <w:rFonts w:hint="eastAsia" w:ascii="仿宋_GB2312" w:hAnsi="Times New Roman" w:eastAsia="仿宋_GB2312" w:cs="仿宋_GB2312"/>
          <w:kern w:val="0"/>
          <w:sz w:val="32"/>
          <w:szCs w:val="32"/>
        </w:rPr>
        <w:t>1,010.71万元，</w:t>
      </w:r>
      <w:r>
        <w:rPr>
          <w:rFonts w:hint="eastAsia" w:ascii="仿宋_GB2312" w:hAnsi="Times New Roman" w:eastAsia="仿宋_GB2312" w:cs="仿宋_GB2312"/>
          <w:sz w:val="32"/>
          <w:szCs w:val="32"/>
        </w:rPr>
        <w:t>其中：年初财政拨款结转和结余</w:t>
      </w:r>
      <w:r>
        <w:rPr>
          <w:rFonts w:hint="eastAsia" w:ascii="仿宋_GB2312" w:hAnsi="Times New Roman" w:eastAsia="仿宋_GB2312" w:cs="仿宋_GB2312"/>
          <w:kern w:val="0"/>
          <w:sz w:val="32"/>
          <w:szCs w:val="32"/>
        </w:rPr>
        <w:t>236.52</w:t>
      </w:r>
      <w:r>
        <w:rPr>
          <w:rFonts w:hint="eastAsia" w:ascii="仿宋_GB2312" w:hAnsi="Times New Roman" w:eastAsia="仿宋_GB2312" w:cs="仿宋_GB2312"/>
          <w:sz w:val="32"/>
          <w:szCs w:val="32"/>
        </w:rPr>
        <w:t>万元，财政拨款本年收入</w:t>
      </w:r>
      <w:r>
        <w:rPr>
          <w:rFonts w:hint="eastAsia" w:ascii="仿宋_GB2312" w:hAnsi="Times New Roman" w:eastAsia="仿宋_GB2312" w:cs="仿宋_GB2312"/>
          <w:kern w:val="0"/>
          <w:sz w:val="32"/>
          <w:szCs w:val="32"/>
        </w:rPr>
        <w:t>774.19</w:t>
      </w:r>
      <w:r>
        <w:rPr>
          <w:rFonts w:hint="eastAsia" w:ascii="仿宋_GB2312" w:hAnsi="Times New Roman" w:eastAsia="仿宋_GB2312" w:cs="仿宋_GB2312"/>
          <w:sz w:val="32"/>
          <w:szCs w:val="32"/>
        </w:rPr>
        <w:t>万元。财政拨款收入</w:t>
      </w:r>
      <w:r>
        <w:rPr>
          <w:rFonts w:hint="eastAsia" w:ascii="仿宋_GB2312" w:hAnsi="Times New Roman" w:eastAsia="仿宋_GB2312" w:cs="仿宋_GB2312"/>
          <w:sz w:val="32"/>
          <w:szCs w:val="32"/>
          <w:highlight w:val="none"/>
        </w:rPr>
        <w:t>总计</w:t>
      </w:r>
      <w:r>
        <w:rPr>
          <w:rFonts w:hint="eastAsia" w:ascii="仿宋_GB2312" w:hAnsi="Times New Roman" w:eastAsia="仿宋_GB2312" w:cs="仿宋_GB2312"/>
          <w:kern w:val="0"/>
          <w:sz w:val="32"/>
          <w:szCs w:val="32"/>
          <w:highlight w:val="none"/>
        </w:rPr>
        <w:t>与上年相比，减少393.41万元，下降28.02%，主要原因是：</w:t>
      </w:r>
      <w:r>
        <w:rPr>
          <w:rFonts w:hint="eastAsia" w:ascii="仿宋_GB2312" w:hAnsi="Times New Roman" w:eastAsia="仿宋_GB2312" w:cs="仿宋_GB2312"/>
          <w:kern w:val="0"/>
          <w:sz w:val="32"/>
          <w:szCs w:val="32"/>
          <w:highlight w:val="none"/>
          <w:lang w:val="en-US" w:eastAsia="zh-CN"/>
        </w:rPr>
        <w:t>本年减少</w:t>
      </w:r>
      <w:r>
        <w:rPr>
          <w:rFonts w:hint="eastAsia" w:ascii="仿宋_GB2312" w:hAnsi="Times New Roman" w:eastAsia="仿宋_GB2312" w:cs="仿宋_GB2312"/>
          <w:kern w:val="0"/>
          <w:sz w:val="32"/>
          <w:szCs w:val="32"/>
          <w:highlight w:val="none"/>
        </w:rPr>
        <w:t>人民司法调解经费</w:t>
      </w:r>
      <w:r>
        <w:rPr>
          <w:rFonts w:hint="eastAsia" w:ascii="仿宋_GB2312" w:hAnsi="Times New Roman" w:eastAsia="仿宋_GB2312" w:cs="仿宋_GB2312"/>
          <w:kern w:val="0"/>
          <w:sz w:val="32"/>
          <w:szCs w:val="32"/>
          <w:highlight w:val="none"/>
          <w:lang w:val="en-US" w:eastAsia="zh-CN"/>
        </w:rPr>
        <w:t>项目，2022年中央政法纪检监察转移支付资金拨款减少，收入减少</w:t>
      </w:r>
      <w:r>
        <w:rPr>
          <w:rFonts w:hint="eastAsia" w:ascii="仿宋_GB2312" w:hAnsi="Times New Roman" w:eastAsia="仿宋_GB2312" w:cs="仿宋_GB2312"/>
          <w:kern w:val="0"/>
          <w:sz w:val="32"/>
          <w:szCs w:val="32"/>
          <w:highlight w:val="none"/>
        </w:rPr>
        <w:t>。</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highlight w:val="none"/>
        </w:rPr>
      </w:pPr>
      <w:r>
        <w:rPr>
          <w:rFonts w:hint="eastAsia" w:ascii="仿宋_GB2312" w:hAnsi="Times New Roman" w:eastAsia="仿宋_GB2312" w:cs="仿宋_GB2312"/>
          <w:kern w:val="0"/>
          <w:sz w:val="32"/>
          <w:szCs w:val="32"/>
        </w:rPr>
        <w:t>财政拨款支出</w:t>
      </w:r>
      <w:r>
        <w:rPr>
          <w:rFonts w:hint="eastAsia" w:ascii="仿宋_GB2312" w:hAnsi="Times New Roman" w:eastAsia="仿宋_GB2312" w:cs="仿宋_GB2312"/>
          <w:sz w:val="32"/>
          <w:szCs w:val="32"/>
        </w:rPr>
        <w:t>总计</w:t>
      </w:r>
      <w:r>
        <w:rPr>
          <w:rFonts w:hint="eastAsia" w:ascii="仿宋_GB2312" w:hAnsi="Times New Roman" w:eastAsia="仿宋_GB2312" w:cs="仿宋_GB2312"/>
          <w:kern w:val="0"/>
          <w:sz w:val="32"/>
          <w:szCs w:val="32"/>
        </w:rPr>
        <w:t>1,010.71万元，</w:t>
      </w:r>
      <w:r>
        <w:rPr>
          <w:rFonts w:hint="eastAsia" w:ascii="仿宋_GB2312" w:hAnsi="Times New Roman" w:eastAsia="仿宋_GB2312" w:cs="仿宋_GB2312"/>
          <w:sz w:val="32"/>
          <w:szCs w:val="32"/>
        </w:rPr>
        <w:t>其中：年末财政拨款结转和结余</w:t>
      </w:r>
      <w:r>
        <w:rPr>
          <w:rFonts w:hint="eastAsia" w:ascii="仿宋_GB2312" w:hAnsi="Times New Roman" w:eastAsia="仿宋_GB2312" w:cs="仿宋_GB2312"/>
          <w:kern w:val="0"/>
          <w:sz w:val="32"/>
          <w:szCs w:val="32"/>
        </w:rPr>
        <w:t>229.62</w:t>
      </w:r>
      <w:r>
        <w:rPr>
          <w:rFonts w:hint="eastAsia" w:ascii="仿宋_GB2312" w:hAnsi="Times New Roman" w:eastAsia="仿宋_GB2312" w:cs="仿宋_GB2312"/>
          <w:sz w:val="32"/>
          <w:szCs w:val="32"/>
        </w:rPr>
        <w:t>万元，财政拨款本年支出</w:t>
      </w:r>
      <w:r>
        <w:rPr>
          <w:rFonts w:hint="eastAsia" w:ascii="仿宋_GB2312" w:hAnsi="Times New Roman" w:eastAsia="仿宋_GB2312" w:cs="仿宋_GB2312"/>
          <w:kern w:val="0"/>
          <w:sz w:val="32"/>
          <w:szCs w:val="32"/>
        </w:rPr>
        <w:t>781.09</w:t>
      </w:r>
      <w:r>
        <w:rPr>
          <w:rFonts w:hint="eastAsia" w:ascii="仿宋_GB2312" w:hAnsi="Times New Roman" w:eastAsia="仿宋_GB2312" w:cs="仿宋_GB2312"/>
          <w:sz w:val="32"/>
          <w:szCs w:val="32"/>
        </w:rPr>
        <w:t>万元。财政拨款支出总计</w:t>
      </w:r>
      <w:r>
        <w:rPr>
          <w:rFonts w:hint="eastAsia" w:ascii="仿宋_GB2312" w:hAnsi="Times New Roman" w:eastAsia="仿宋_GB2312" w:cs="仿宋_GB2312"/>
          <w:kern w:val="0"/>
          <w:sz w:val="32"/>
          <w:szCs w:val="32"/>
        </w:rPr>
        <w:t>与上年相比，减少393.41万元，下降28.</w:t>
      </w:r>
      <w:r>
        <w:rPr>
          <w:rFonts w:hint="eastAsia" w:ascii="仿宋_GB2312" w:hAnsi="Times New Roman" w:eastAsia="仿宋_GB2312" w:cs="仿宋_GB2312"/>
          <w:kern w:val="0"/>
          <w:sz w:val="32"/>
          <w:szCs w:val="32"/>
          <w:highlight w:val="none"/>
        </w:rPr>
        <w:t>02%，主要原因是：</w:t>
      </w:r>
      <w:r>
        <w:rPr>
          <w:rFonts w:hint="eastAsia" w:ascii="仿宋_GB2312" w:hAnsi="Times New Roman" w:eastAsia="仿宋_GB2312" w:cs="仿宋_GB2312"/>
          <w:kern w:val="0"/>
          <w:sz w:val="32"/>
          <w:szCs w:val="32"/>
          <w:highlight w:val="none"/>
          <w:lang w:val="en-US" w:eastAsia="zh-CN"/>
        </w:rPr>
        <w:t>本年减少</w:t>
      </w:r>
      <w:r>
        <w:rPr>
          <w:rFonts w:hint="eastAsia" w:ascii="仿宋_GB2312" w:hAnsi="Times New Roman" w:eastAsia="仿宋_GB2312" w:cs="仿宋_GB2312"/>
          <w:kern w:val="0"/>
          <w:sz w:val="32"/>
          <w:szCs w:val="32"/>
          <w:highlight w:val="none"/>
        </w:rPr>
        <w:t>人民司法调解经费</w:t>
      </w:r>
      <w:r>
        <w:rPr>
          <w:rFonts w:hint="eastAsia" w:ascii="仿宋_GB2312" w:hAnsi="Times New Roman" w:eastAsia="仿宋_GB2312" w:cs="仿宋_GB2312"/>
          <w:kern w:val="0"/>
          <w:sz w:val="32"/>
          <w:szCs w:val="32"/>
          <w:highlight w:val="none"/>
          <w:lang w:val="en-US" w:eastAsia="zh-CN"/>
        </w:rPr>
        <w:t>项目，2022年中央政法纪检监察转移支付资金拨款减少，支出减少</w:t>
      </w:r>
      <w:r>
        <w:rPr>
          <w:rFonts w:hint="eastAsia" w:ascii="仿宋_GB2312" w:hAnsi="Times New Roman" w:eastAsia="仿宋_GB2312" w:cs="仿宋_GB2312"/>
          <w:kern w:val="0"/>
          <w:sz w:val="32"/>
          <w:szCs w:val="32"/>
          <w:highlight w:val="none"/>
        </w:rPr>
        <w:t>。</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highlight w:val="none"/>
        </w:rPr>
      </w:pPr>
      <w:r>
        <w:rPr>
          <w:rFonts w:hint="eastAsia" w:ascii="仿宋_GB2312" w:hAnsi="Times New Roman" w:eastAsia="仿宋_GB2312" w:cs="仿宋_GB2312"/>
          <w:kern w:val="0"/>
          <w:sz w:val="32"/>
          <w:szCs w:val="32"/>
        </w:rPr>
        <w:t>与年初预算数相比情况：财政拨款收入</w:t>
      </w:r>
      <w:r>
        <w:rPr>
          <w:rFonts w:hint="eastAsia" w:ascii="仿宋_GB2312" w:hAnsi="Times New Roman" w:eastAsia="仿宋_GB2312" w:cs="仿宋_GB2312"/>
          <w:sz w:val="32"/>
          <w:szCs w:val="32"/>
        </w:rPr>
        <w:t>总计</w:t>
      </w:r>
      <w:r>
        <w:rPr>
          <w:rFonts w:hint="eastAsia" w:ascii="仿宋_GB2312" w:hAnsi="Times New Roman" w:eastAsia="仿宋_GB2312" w:cs="仿宋_GB2312"/>
          <w:kern w:val="0"/>
          <w:sz w:val="32"/>
          <w:szCs w:val="32"/>
        </w:rPr>
        <w:t>年初预算数827.97万元，决算数1,010.71万元，预决算差异率22.07%</w:t>
      </w:r>
      <w:r>
        <w:rPr>
          <w:rFonts w:hint="eastAsia" w:ascii="仿宋_GB2312" w:hAnsi="Times New Roman" w:eastAsia="仿宋_GB2312" w:cs="仿宋_GB2312"/>
          <w:kern w:val="0"/>
          <w:sz w:val="32"/>
          <w:szCs w:val="32"/>
          <w:highlight w:val="none"/>
        </w:rPr>
        <w:t>，主要原因是：</w:t>
      </w:r>
      <w:r>
        <w:rPr>
          <w:rFonts w:hint="eastAsia" w:ascii="仿宋_GB2312" w:hAnsi="Times New Roman" w:eastAsia="仿宋_GB2312" w:cs="仿宋_GB2312"/>
          <w:kern w:val="0"/>
          <w:sz w:val="32"/>
          <w:szCs w:val="32"/>
          <w:highlight w:val="none"/>
          <w:lang w:val="en-US" w:eastAsia="zh-CN"/>
        </w:rPr>
        <w:t>本年年中追加2022年中央政法纪检监察转移支付资金，导致与预算相比有差异。</w:t>
      </w:r>
      <w:r>
        <w:rPr>
          <w:rFonts w:hint="eastAsia" w:ascii="仿宋_GB2312" w:hAnsi="Times New Roman" w:eastAsia="仿宋_GB2312" w:cs="仿宋_GB2312"/>
          <w:kern w:val="0"/>
          <w:sz w:val="32"/>
          <w:szCs w:val="32"/>
          <w:highlight w:val="none"/>
        </w:rPr>
        <w:t>财政拨款支出</w:t>
      </w:r>
      <w:r>
        <w:rPr>
          <w:rFonts w:hint="eastAsia" w:ascii="仿宋_GB2312" w:hAnsi="Times New Roman" w:eastAsia="仿宋_GB2312" w:cs="仿宋_GB2312"/>
          <w:sz w:val="32"/>
          <w:szCs w:val="32"/>
          <w:highlight w:val="none"/>
        </w:rPr>
        <w:t>总计</w:t>
      </w:r>
      <w:r>
        <w:rPr>
          <w:rFonts w:hint="eastAsia" w:ascii="仿宋_GB2312" w:hAnsi="Times New Roman" w:eastAsia="仿宋_GB2312" w:cs="仿宋_GB2312"/>
          <w:kern w:val="0"/>
          <w:sz w:val="32"/>
          <w:szCs w:val="32"/>
          <w:highlight w:val="none"/>
        </w:rPr>
        <w:t>年初预算数827.97万元，决算数1,010.71万元，预决算差异率22.07%，主要原因是：</w:t>
      </w:r>
      <w:r>
        <w:rPr>
          <w:rFonts w:hint="eastAsia" w:ascii="仿宋_GB2312" w:hAnsi="Times New Roman" w:eastAsia="仿宋_GB2312" w:cs="仿宋_GB2312"/>
          <w:kern w:val="0"/>
          <w:sz w:val="32"/>
          <w:szCs w:val="32"/>
          <w:highlight w:val="none"/>
          <w:lang w:val="en-US" w:eastAsia="zh-CN"/>
        </w:rPr>
        <w:t>本年年中追加2022年中央政法纪检监察转移支付资金，支出增加，导致与预算相比有差异</w:t>
      </w:r>
      <w:r>
        <w:rPr>
          <w:rFonts w:hint="eastAsia" w:ascii="仿宋_GB2312" w:hAnsi="Times New Roman" w:eastAsia="仿宋_GB2312" w:cs="仿宋_GB2312"/>
          <w:kern w:val="0"/>
          <w:sz w:val="32"/>
          <w:szCs w:val="32"/>
          <w:highlight w:val="none"/>
        </w:rPr>
        <w:t>。</w:t>
      </w:r>
    </w:p>
    <w:p>
      <w:pPr>
        <w:autoSpaceDE w:val="0"/>
        <w:autoSpaceDN w:val="0"/>
        <w:adjustRightInd w:val="0"/>
        <w:spacing w:beforeLines="0" w:afterLines="0" w:line="360" w:lineRule="auto"/>
        <w:ind w:firstLine="640"/>
        <w:rPr>
          <w:rFonts w:hint="default" w:ascii="Times New Roman" w:hAnsi="Times New Roman" w:eastAsia="黑体"/>
          <w:sz w:val="32"/>
          <w:szCs w:val="32"/>
          <w:lang w:val="zh-CN"/>
        </w:rPr>
      </w:pPr>
      <w:r>
        <w:rPr>
          <w:rFonts w:hint="eastAsia" w:ascii="黑体" w:hAnsi="Times New Roman" w:eastAsia="黑体" w:cs="黑体"/>
          <w:sz w:val="32"/>
          <w:szCs w:val="32"/>
          <w:lang w:val="zh-CN"/>
        </w:rPr>
        <w:t>五、一般公共预算财政拨款支出决算情况说明</w:t>
      </w:r>
    </w:p>
    <w:p>
      <w:pPr>
        <w:autoSpaceDE w:val="0"/>
        <w:autoSpaceDN w:val="0"/>
        <w:adjustRightInd w:val="0"/>
        <w:spacing w:beforeLines="0" w:afterLines="0"/>
        <w:ind w:firstLine="640"/>
        <w:rPr>
          <w:rFonts w:hint="default" w:ascii="Times New Roman" w:hAnsi="Times New Roman" w:eastAsia="黑体"/>
          <w:sz w:val="32"/>
          <w:szCs w:val="32"/>
        </w:rPr>
      </w:pPr>
      <w:r>
        <w:rPr>
          <w:rFonts w:hint="eastAsia" w:ascii="黑体" w:hAnsi="Times New Roman" w:eastAsia="黑体" w:cs="黑体"/>
          <w:sz w:val="32"/>
          <w:szCs w:val="32"/>
        </w:rPr>
        <w:t>（一）一般公共预算财政拨款支出决算总体情况</w:t>
      </w:r>
    </w:p>
    <w:p>
      <w:pPr>
        <w:autoSpaceDE w:val="0"/>
        <w:autoSpaceDN w:val="0"/>
        <w:adjustRightInd w:val="0"/>
        <w:spacing w:beforeLines="0" w:afterLines="0" w:line="600" w:lineRule="exact"/>
        <w:ind w:firstLine="640"/>
        <w:rPr>
          <w:rFonts w:hint="eastAsia" w:ascii="仿宋_GB2312" w:hAnsi="Times New Roman" w:eastAsia="仿宋_GB2312" w:cs="仿宋_GB2312"/>
          <w:kern w:val="0"/>
          <w:sz w:val="32"/>
          <w:szCs w:val="32"/>
          <w:highlight w:val="none"/>
        </w:rPr>
      </w:pPr>
      <w:r>
        <w:rPr>
          <w:rFonts w:hint="eastAsia" w:ascii="仿宋_GB2312" w:hAnsi="Times New Roman" w:eastAsia="仿宋_GB2312" w:cs="仿宋_GB2312"/>
          <w:sz w:val="32"/>
          <w:szCs w:val="32"/>
        </w:rPr>
        <w:t>2022年度一般公共预算财政拨款支出</w:t>
      </w:r>
      <w:r>
        <w:rPr>
          <w:rFonts w:hint="eastAsia" w:ascii="仿宋_GB2312" w:hAnsi="Times New Roman" w:eastAsia="仿宋_GB2312" w:cs="仿宋_GB2312"/>
          <w:kern w:val="0"/>
          <w:sz w:val="32"/>
          <w:szCs w:val="32"/>
        </w:rPr>
        <w:t>781.09</w:t>
      </w:r>
      <w:r>
        <w:rPr>
          <w:rFonts w:hint="eastAsia" w:ascii="仿宋_GB2312" w:hAnsi="Times New Roman" w:eastAsia="仿宋_GB2312" w:cs="仿宋_GB2312"/>
          <w:sz w:val="32"/>
          <w:szCs w:val="32"/>
        </w:rPr>
        <w:t>万元，占本年支出合计的</w:t>
      </w:r>
      <w:r>
        <w:rPr>
          <w:rFonts w:hint="eastAsia" w:ascii="仿宋_GB2312" w:hAnsi="Times New Roman" w:eastAsia="仿宋_GB2312" w:cs="仿宋_GB2312"/>
          <w:kern w:val="0"/>
          <w:sz w:val="32"/>
          <w:szCs w:val="32"/>
        </w:rPr>
        <w:t>100.00%</w:t>
      </w:r>
      <w:r>
        <w:rPr>
          <w:rFonts w:hint="eastAsia" w:ascii="仿宋_GB2312" w:hAnsi="Times New Roman" w:eastAsia="仿宋_GB2312" w:cs="仿宋_GB2312"/>
          <w:sz w:val="32"/>
          <w:szCs w:val="32"/>
        </w:rPr>
        <w:t>，与上年相比，</w:t>
      </w:r>
      <w:r>
        <w:rPr>
          <w:rFonts w:hint="eastAsia" w:ascii="仿宋_GB2312" w:hAnsi="Times New Roman" w:eastAsia="仿宋_GB2312" w:cs="仿宋_GB2312"/>
          <w:kern w:val="0"/>
          <w:sz w:val="32"/>
          <w:szCs w:val="32"/>
        </w:rPr>
        <w:t>减少386.51万元，下降33.10%，</w:t>
      </w:r>
      <w:r>
        <w:rPr>
          <w:rFonts w:hint="eastAsia" w:ascii="仿宋_GB2312" w:hAnsi="Times New Roman" w:eastAsia="仿宋_GB2312" w:cs="仿宋_GB2312"/>
          <w:kern w:val="0"/>
          <w:sz w:val="32"/>
          <w:szCs w:val="32"/>
          <w:highlight w:val="none"/>
        </w:rPr>
        <w:t>主要原因是：</w:t>
      </w:r>
      <w:r>
        <w:rPr>
          <w:rFonts w:hint="eastAsia" w:ascii="仿宋_GB2312" w:hAnsi="Times New Roman" w:eastAsia="仿宋_GB2312" w:cs="仿宋_GB2312"/>
          <w:kern w:val="0"/>
          <w:sz w:val="32"/>
          <w:szCs w:val="32"/>
          <w:highlight w:val="none"/>
          <w:lang w:val="en-US" w:eastAsia="zh-CN"/>
        </w:rPr>
        <w:t>本年受疫情影响，单位业务量减少，相关办公费、委托业务费、劳务费减少</w:t>
      </w:r>
      <w:r>
        <w:rPr>
          <w:rFonts w:hint="eastAsia" w:ascii="仿宋_GB2312" w:hAnsi="Times New Roman" w:eastAsia="仿宋_GB2312" w:cs="仿宋_GB2312"/>
          <w:kern w:val="0"/>
          <w:sz w:val="32"/>
          <w:szCs w:val="32"/>
          <w:highlight w:val="none"/>
        </w:rPr>
        <w:t>。</w:t>
      </w:r>
    </w:p>
    <w:p>
      <w:pPr>
        <w:autoSpaceDE w:val="0"/>
        <w:autoSpaceDN w:val="0"/>
        <w:adjustRightInd w:val="0"/>
        <w:spacing w:beforeLines="0" w:afterLines="0"/>
        <w:ind w:firstLine="640"/>
        <w:rPr>
          <w:rFonts w:hint="default" w:ascii="Times New Roman" w:hAnsi="Times New Roman" w:eastAsia="黑体"/>
          <w:sz w:val="32"/>
          <w:szCs w:val="32"/>
        </w:rPr>
      </w:pPr>
      <w:r>
        <w:rPr>
          <w:rFonts w:hint="eastAsia" w:ascii="黑体" w:hAnsi="Times New Roman" w:eastAsia="黑体" w:cs="黑体"/>
          <w:sz w:val="32"/>
          <w:szCs w:val="32"/>
        </w:rPr>
        <w:t>（二）一般公共预算财政拨款支出决算结构情况</w:t>
      </w:r>
    </w:p>
    <w:p>
      <w:pPr>
        <w:autoSpaceDE w:val="0"/>
        <w:autoSpaceDN w:val="0"/>
        <w:adjustRightInd w:val="0"/>
        <w:spacing w:beforeLines="0" w:afterLines="0" w:line="600" w:lineRule="exact"/>
        <w:ind w:firstLine="640"/>
        <w:rPr>
          <w:rFonts w:hint="default" w:ascii="Times New Roman" w:hAnsi="Times New Roman" w:eastAsia="仿宋_GB2312"/>
          <w:kern w:val="0"/>
          <w:sz w:val="32"/>
          <w:szCs w:val="32"/>
          <w:highlight w:val="yellow"/>
        </w:rPr>
      </w:pPr>
      <w:r>
        <w:rPr>
          <w:rFonts w:hint="eastAsia" w:ascii="仿宋_GB2312" w:hAnsi="Times New Roman" w:eastAsia="仿宋_GB2312" w:cs="仿宋_GB2312"/>
          <w:sz w:val="32"/>
          <w:szCs w:val="32"/>
        </w:rPr>
        <w:t>1.公共安全支出（类）730.30万元，占93.50%；</w:t>
      </w:r>
    </w:p>
    <w:p>
      <w:pPr>
        <w:autoSpaceDE w:val="0"/>
        <w:autoSpaceDN w:val="0"/>
        <w:adjustRightInd w:val="0"/>
        <w:spacing w:beforeLines="0" w:afterLines="0" w:line="600" w:lineRule="exact"/>
        <w:ind w:firstLine="640"/>
        <w:rPr>
          <w:rFonts w:hint="default" w:ascii="Times New Roman" w:hAnsi="Times New Roman" w:eastAsia="仿宋_GB2312"/>
          <w:kern w:val="0"/>
          <w:sz w:val="32"/>
          <w:szCs w:val="32"/>
          <w:highlight w:val="yellow"/>
        </w:rPr>
      </w:pPr>
      <w:r>
        <w:rPr>
          <w:rFonts w:hint="eastAsia" w:ascii="仿宋_GB2312" w:hAnsi="Times New Roman" w:eastAsia="仿宋_GB2312" w:cs="仿宋_GB2312"/>
          <w:sz w:val="32"/>
          <w:szCs w:val="32"/>
        </w:rPr>
        <w:t>2.社</w:t>
      </w:r>
      <w:r>
        <w:rPr>
          <w:rFonts w:hint="eastAsia" w:ascii="仿宋_GB2312" w:hAnsi="Times New Roman" w:eastAsia="仿宋_GB2312" w:cs="仿宋_GB2312"/>
          <w:kern w:val="0"/>
          <w:sz w:val="32"/>
          <w:szCs w:val="32"/>
        </w:rPr>
        <w:t>会保障和就业支出（类）50.79万元，占6.50%。</w:t>
      </w:r>
    </w:p>
    <w:p>
      <w:pPr>
        <w:autoSpaceDE w:val="0"/>
        <w:autoSpaceDN w:val="0"/>
        <w:adjustRightInd w:val="0"/>
        <w:spacing w:beforeLines="0" w:afterLines="0"/>
        <w:ind w:firstLine="640"/>
        <w:rPr>
          <w:rFonts w:hint="default" w:ascii="Times New Roman" w:hAnsi="Times New Roman" w:eastAsia="黑体"/>
          <w:sz w:val="32"/>
          <w:szCs w:val="32"/>
        </w:rPr>
      </w:pPr>
      <w:r>
        <w:rPr>
          <w:rFonts w:hint="eastAsia" w:ascii="黑体" w:hAnsi="Times New Roman" w:eastAsia="黑体" w:cs="黑体"/>
          <w:sz w:val="32"/>
          <w:szCs w:val="32"/>
        </w:rPr>
        <w:t>（三）一般公共预算财政拨款支出决算具体情况</w:t>
      </w:r>
    </w:p>
    <w:p>
      <w:pPr>
        <w:autoSpaceDE w:val="0"/>
        <w:autoSpaceDN w:val="0"/>
        <w:adjustRightInd w:val="0"/>
        <w:spacing w:beforeLines="0" w:afterLines="0"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highlight w:val="none"/>
        </w:rPr>
        <w:t>1.公共安全支出（类）司法（款）行政运行（项）:支出决算数为599.92万元，比上年决算减少153.14万元，下降20.34%，主要原因是：</w:t>
      </w:r>
      <w:r>
        <w:rPr>
          <w:rFonts w:hint="eastAsia" w:ascii="仿宋_GB2312" w:hAnsi="Times New Roman" w:eastAsia="仿宋_GB2312" w:cs="仿宋_GB2312"/>
          <w:kern w:val="0"/>
          <w:sz w:val="32"/>
          <w:szCs w:val="32"/>
          <w:highlight w:val="none"/>
          <w:lang w:val="en-US" w:eastAsia="zh-CN"/>
        </w:rPr>
        <w:t>本年受疫情影响，单位业务量减少，相关办公费、委托业务费、劳务费减少，导致此功能科目支出减少</w:t>
      </w:r>
      <w:r>
        <w:rPr>
          <w:rFonts w:hint="eastAsia" w:ascii="仿宋_GB2312" w:hAnsi="Times New Roman" w:eastAsia="仿宋_GB2312" w:cs="仿宋_GB2312"/>
          <w:sz w:val="32"/>
          <w:szCs w:val="32"/>
          <w:highlight w:val="none"/>
        </w:rPr>
        <w:t>；</w:t>
      </w:r>
    </w:p>
    <w:p>
      <w:pPr>
        <w:autoSpaceDE w:val="0"/>
        <w:autoSpaceDN w:val="0"/>
        <w:adjustRightInd w:val="0"/>
        <w:spacing w:beforeLines="0" w:afterLines="0"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highlight w:val="none"/>
        </w:rPr>
        <w:t>2.公共安全支出（类）司法（款）一般行政管理事务（项）:支出决算数为0.00万元，比上年决算减少4.80万元，下降100.00%，主要原因是：</w:t>
      </w:r>
      <w:r>
        <w:rPr>
          <w:rFonts w:hint="eastAsia" w:ascii="仿宋_GB2312" w:hAnsi="Times New Roman" w:eastAsia="仿宋_GB2312" w:cs="仿宋_GB2312"/>
          <w:sz w:val="32"/>
          <w:szCs w:val="32"/>
          <w:highlight w:val="none"/>
          <w:lang w:val="en-US" w:eastAsia="zh-CN"/>
        </w:rPr>
        <w:t>本年此功能科目未支出</w:t>
      </w:r>
      <w:r>
        <w:rPr>
          <w:rFonts w:hint="eastAsia" w:ascii="仿宋_GB2312" w:hAnsi="Times New Roman" w:eastAsia="仿宋_GB2312" w:cs="仿宋_GB2312"/>
          <w:sz w:val="32"/>
          <w:szCs w:val="32"/>
          <w:highlight w:val="none"/>
        </w:rPr>
        <w:t>；</w:t>
      </w:r>
    </w:p>
    <w:p>
      <w:pPr>
        <w:autoSpaceDE w:val="0"/>
        <w:autoSpaceDN w:val="0"/>
        <w:adjustRightInd w:val="0"/>
        <w:spacing w:beforeLines="0" w:afterLines="0"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highlight w:val="none"/>
        </w:rPr>
        <w:t>3.公共安全支出（类）司法（款）基层司法业务（项）:支出决算数为0.00万元，比上年决算减少4.68万元，下降100.00%，主要原因是：</w:t>
      </w:r>
      <w:r>
        <w:rPr>
          <w:rFonts w:hint="eastAsia" w:ascii="仿宋_GB2312" w:hAnsi="Times New Roman" w:eastAsia="仿宋_GB2312" w:cs="仿宋_GB2312"/>
          <w:sz w:val="32"/>
          <w:szCs w:val="32"/>
          <w:highlight w:val="none"/>
          <w:lang w:val="en-US" w:eastAsia="zh-CN"/>
        </w:rPr>
        <w:t>本年此功能科目未支出</w:t>
      </w:r>
      <w:r>
        <w:rPr>
          <w:rFonts w:hint="eastAsia" w:ascii="仿宋_GB2312" w:hAnsi="Times New Roman" w:eastAsia="仿宋_GB2312" w:cs="仿宋_GB2312"/>
          <w:sz w:val="32"/>
          <w:szCs w:val="32"/>
          <w:highlight w:val="none"/>
        </w:rPr>
        <w:t>；</w:t>
      </w:r>
    </w:p>
    <w:p>
      <w:pPr>
        <w:autoSpaceDE w:val="0"/>
        <w:autoSpaceDN w:val="0"/>
        <w:adjustRightInd w:val="0"/>
        <w:spacing w:beforeLines="0" w:afterLines="0"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highlight w:val="none"/>
        </w:rPr>
        <w:t>4.公共安全支出（类）司法（款）普法宣传（项）:支出决算数为0.00万元，比上年决算减少22.21万元，下降100.00%，主要原因是：</w:t>
      </w:r>
      <w:r>
        <w:rPr>
          <w:rFonts w:hint="eastAsia" w:ascii="仿宋_GB2312" w:hAnsi="Times New Roman" w:eastAsia="仿宋_GB2312" w:cs="仿宋_GB2312"/>
          <w:sz w:val="32"/>
          <w:szCs w:val="32"/>
          <w:highlight w:val="none"/>
          <w:lang w:val="en-US" w:eastAsia="zh-CN"/>
        </w:rPr>
        <w:t>本年此功能科目未支出</w:t>
      </w:r>
      <w:r>
        <w:rPr>
          <w:rFonts w:hint="eastAsia" w:ascii="仿宋_GB2312" w:hAnsi="Times New Roman" w:eastAsia="仿宋_GB2312" w:cs="仿宋_GB2312"/>
          <w:sz w:val="32"/>
          <w:szCs w:val="32"/>
          <w:highlight w:val="none"/>
        </w:rPr>
        <w:t>；</w:t>
      </w:r>
    </w:p>
    <w:p>
      <w:pPr>
        <w:autoSpaceDE w:val="0"/>
        <w:autoSpaceDN w:val="0"/>
        <w:adjustRightInd w:val="0"/>
        <w:spacing w:beforeLines="0" w:afterLines="0"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highlight w:val="none"/>
        </w:rPr>
        <w:t>5.公共安全支出（类）司法（款）公共法律服务（项）:支出决算数为0.00万元，比上年决算减少2.16万元，下降100.00%，主要原因是：</w:t>
      </w:r>
      <w:r>
        <w:rPr>
          <w:rFonts w:hint="eastAsia" w:ascii="仿宋_GB2312" w:hAnsi="Times New Roman" w:eastAsia="仿宋_GB2312" w:cs="仿宋_GB2312"/>
          <w:sz w:val="32"/>
          <w:szCs w:val="32"/>
          <w:highlight w:val="none"/>
          <w:lang w:val="en-US" w:eastAsia="zh-CN"/>
        </w:rPr>
        <w:t>本年此功能科目未支出</w:t>
      </w:r>
      <w:r>
        <w:rPr>
          <w:rFonts w:hint="eastAsia" w:ascii="仿宋_GB2312" w:hAnsi="Times New Roman" w:eastAsia="仿宋_GB2312" w:cs="仿宋_GB2312"/>
          <w:sz w:val="32"/>
          <w:szCs w:val="32"/>
          <w:highlight w:val="none"/>
        </w:rPr>
        <w:t>；</w:t>
      </w:r>
    </w:p>
    <w:p>
      <w:pPr>
        <w:autoSpaceDE w:val="0"/>
        <w:autoSpaceDN w:val="0"/>
        <w:adjustRightInd w:val="0"/>
        <w:spacing w:beforeLines="0" w:afterLines="0"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highlight w:val="none"/>
        </w:rPr>
        <w:t>6.公共安全支出（类）司法（款）社区矫正（项）:支出决算数为0.00万元，比上年决算减少1.79万元，下降100.00%，主要原因是：</w:t>
      </w:r>
      <w:r>
        <w:rPr>
          <w:rFonts w:hint="eastAsia" w:ascii="仿宋_GB2312" w:hAnsi="Times New Roman" w:eastAsia="仿宋_GB2312" w:cs="仿宋_GB2312"/>
          <w:sz w:val="32"/>
          <w:szCs w:val="32"/>
          <w:highlight w:val="none"/>
          <w:lang w:val="en-US" w:eastAsia="zh-CN"/>
        </w:rPr>
        <w:t>本年此功能科目未支出</w:t>
      </w:r>
      <w:r>
        <w:rPr>
          <w:rFonts w:hint="eastAsia" w:ascii="仿宋_GB2312" w:hAnsi="Times New Roman" w:eastAsia="仿宋_GB2312" w:cs="仿宋_GB2312"/>
          <w:sz w:val="32"/>
          <w:szCs w:val="32"/>
          <w:highlight w:val="none"/>
        </w:rPr>
        <w:t>；</w:t>
      </w:r>
    </w:p>
    <w:p>
      <w:pPr>
        <w:autoSpaceDE w:val="0"/>
        <w:autoSpaceDN w:val="0"/>
        <w:adjustRightInd w:val="0"/>
        <w:spacing w:beforeLines="0" w:afterLines="0"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rPr>
        <w:t>7.</w:t>
      </w:r>
      <w:r>
        <w:rPr>
          <w:rFonts w:hint="eastAsia" w:ascii="仿宋_GB2312" w:hAnsi="Times New Roman" w:eastAsia="仿宋_GB2312" w:cs="仿宋_GB2312"/>
          <w:sz w:val="32"/>
          <w:szCs w:val="32"/>
          <w:highlight w:val="none"/>
        </w:rPr>
        <w:t>公共安全支出（类）司法（款）事业运行（项）:支出决算数为45.81万元，比上年决算减少12.37万元，下降21.26%，主要原因是：</w:t>
      </w:r>
      <w:r>
        <w:rPr>
          <w:rFonts w:hint="eastAsia" w:ascii="仿宋_GB2312" w:hAnsi="Times New Roman" w:eastAsia="仿宋_GB2312" w:cs="仿宋_GB2312"/>
          <w:sz w:val="32"/>
          <w:szCs w:val="32"/>
          <w:highlight w:val="none"/>
          <w:lang w:val="en-US" w:eastAsia="zh-CN"/>
        </w:rPr>
        <w:t>本年业务量减少，相关劳务费、委托业务费减少</w:t>
      </w:r>
      <w:r>
        <w:rPr>
          <w:rFonts w:hint="eastAsia" w:ascii="仿宋_GB2312" w:hAnsi="Times New Roman" w:eastAsia="仿宋_GB2312" w:cs="仿宋_GB2312"/>
          <w:sz w:val="32"/>
          <w:szCs w:val="32"/>
          <w:highlight w:val="none"/>
        </w:rPr>
        <w:t>；</w:t>
      </w:r>
    </w:p>
    <w:p>
      <w:pPr>
        <w:autoSpaceDE w:val="0"/>
        <w:autoSpaceDN w:val="0"/>
        <w:adjustRightInd w:val="0"/>
        <w:spacing w:beforeLines="0" w:afterLines="0"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rPr>
        <w:t>8.公共安全支出（类）司法（款）其他司法支出（项）:支出决算数为84.57万元，比上年决算减少83.91万元，下降49.80%，</w:t>
      </w:r>
      <w:r>
        <w:rPr>
          <w:rFonts w:hint="eastAsia" w:ascii="仿宋_GB2312" w:hAnsi="Times New Roman" w:eastAsia="仿宋_GB2312" w:cs="仿宋_GB2312"/>
          <w:sz w:val="32"/>
          <w:szCs w:val="32"/>
          <w:highlight w:val="none"/>
        </w:rPr>
        <w:t>主要原因是：</w:t>
      </w:r>
      <w:r>
        <w:rPr>
          <w:rFonts w:hint="eastAsia" w:ascii="仿宋_GB2312" w:hAnsi="Times New Roman" w:eastAsia="仿宋_GB2312" w:cs="仿宋_GB2312"/>
          <w:sz w:val="32"/>
          <w:szCs w:val="32"/>
          <w:highlight w:val="none"/>
          <w:lang w:val="en-US" w:eastAsia="zh-CN"/>
        </w:rPr>
        <w:t>本年减少</w:t>
      </w:r>
      <w:r>
        <w:rPr>
          <w:rFonts w:hint="eastAsia" w:ascii="仿宋_GB2312" w:hAnsi="Times New Roman" w:eastAsia="仿宋_GB2312" w:cs="仿宋_GB2312"/>
          <w:sz w:val="32"/>
          <w:szCs w:val="32"/>
          <w:highlight w:val="none"/>
        </w:rPr>
        <w:t>2022年中央政法纪检监察转移支付资金</w:t>
      </w:r>
      <w:r>
        <w:rPr>
          <w:rFonts w:hint="eastAsia" w:ascii="仿宋_GB2312" w:hAnsi="Times New Roman" w:eastAsia="仿宋_GB2312" w:cs="仿宋_GB2312"/>
          <w:sz w:val="32"/>
          <w:szCs w:val="32"/>
          <w:highlight w:val="none"/>
          <w:lang w:eastAsia="zh-CN"/>
        </w:rPr>
        <w:t>，</w:t>
      </w:r>
      <w:r>
        <w:rPr>
          <w:rFonts w:hint="eastAsia" w:ascii="仿宋_GB2312" w:hAnsi="Times New Roman" w:eastAsia="仿宋_GB2312" w:cs="仿宋_GB2312"/>
          <w:sz w:val="32"/>
          <w:szCs w:val="32"/>
          <w:highlight w:val="none"/>
          <w:lang w:val="en-US" w:eastAsia="zh-CN"/>
        </w:rPr>
        <w:t>此项支出减少</w:t>
      </w:r>
      <w:r>
        <w:rPr>
          <w:rFonts w:hint="eastAsia" w:ascii="仿宋_GB2312" w:hAnsi="Times New Roman" w:eastAsia="仿宋_GB2312" w:cs="仿宋_GB2312"/>
          <w:sz w:val="32"/>
          <w:szCs w:val="32"/>
          <w:highlight w:val="none"/>
        </w:rPr>
        <w:t>；</w:t>
      </w:r>
    </w:p>
    <w:p>
      <w:pPr>
        <w:autoSpaceDE w:val="0"/>
        <w:autoSpaceDN w:val="0"/>
        <w:adjustRightInd w:val="0"/>
        <w:spacing w:beforeLines="0" w:afterLines="0"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highlight w:val="none"/>
        </w:rPr>
        <w:t>9.公共安全支出（类）其他公共安全支出（款）其他公共安全支出（项）:支出决算数为0.00万元，比上年决算减少82.44万元，下降100.00%，主要原因是：</w:t>
      </w:r>
      <w:r>
        <w:rPr>
          <w:rFonts w:hint="eastAsia" w:ascii="仿宋_GB2312" w:hAnsi="Times New Roman" w:eastAsia="仿宋_GB2312" w:cs="仿宋_GB2312"/>
          <w:sz w:val="32"/>
          <w:szCs w:val="32"/>
          <w:highlight w:val="none"/>
          <w:lang w:val="en-US" w:eastAsia="zh-CN"/>
        </w:rPr>
        <w:t>本年此功能科目未支出</w:t>
      </w:r>
      <w:r>
        <w:rPr>
          <w:rFonts w:hint="eastAsia" w:ascii="仿宋_GB2312" w:hAnsi="Times New Roman" w:eastAsia="仿宋_GB2312" w:cs="仿宋_GB2312"/>
          <w:sz w:val="32"/>
          <w:szCs w:val="32"/>
          <w:highlight w:val="none"/>
        </w:rPr>
        <w:t>；</w:t>
      </w:r>
    </w:p>
    <w:p>
      <w:pPr>
        <w:autoSpaceDE w:val="0"/>
        <w:autoSpaceDN w:val="0"/>
        <w:adjustRightInd w:val="0"/>
        <w:spacing w:beforeLines="0" w:afterLines="0"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highlight w:val="none"/>
        </w:rPr>
        <w:t>10.社会保障和就业支出（类）民政管理事务（款）基层政权建设和社区治理（项）:支出决算数为0.00万元，比上年决算减少14.41万元，下降100.00%，主要原因是：</w:t>
      </w:r>
      <w:r>
        <w:rPr>
          <w:rFonts w:hint="eastAsia" w:ascii="仿宋_GB2312" w:hAnsi="Times New Roman" w:eastAsia="仿宋_GB2312" w:cs="仿宋_GB2312"/>
          <w:sz w:val="32"/>
          <w:szCs w:val="32"/>
          <w:highlight w:val="none"/>
          <w:lang w:val="en-US" w:eastAsia="zh-CN"/>
        </w:rPr>
        <w:t>本年此功能科目未支出</w:t>
      </w:r>
      <w:r>
        <w:rPr>
          <w:rFonts w:hint="eastAsia" w:ascii="仿宋_GB2312" w:hAnsi="Times New Roman" w:eastAsia="仿宋_GB2312" w:cs="仿宋_GB2312"/>
          <w:sz w:val="32"/>
          <w:szCs w:val="32"/>
          <w:highlight w:val="none"/>
        </w:rPr>
        <w:t>；</w:t>
      </w:r>
    </w:p>
    <w:p>
      <w:pPr>
        <w:autoSpaceDE w:val="0"/>
        <w:autoSpaceDN w:val="0"/>
        <w:adjustRightInd w:val="0"/>
        <w:spacing w:beforeLines="0" w:afterLines="0"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rPr>
        <w:t>11.社会保障和就业支出（类）行政事业单位养老支出（款）机关事业单位基本养老保险缴费支出（项）:支出决算数为50.79万元，比上年决算减少4.60万元，</w:t>
      </w:r>
      <w:r>
        <w:rPr>
          <w:rFonts w:hint="eastAsia" w:ascii="仿宋_GB2312" w:hAnsi="Times New Roman" w:eastAsia="仿宋_GB2312" w:cs="仿宋_GB2312"/>
          <w:sz w:val="32"/>
          <w:szCs w:val="32"/>
          <w:highlight w:val="none"/>
        </w:rPr>
        <w:t>下降8.30%，主要原因是：</w:t>
      </w:r>
      <w:r>
        <w:rPr>
          <w:rFonts w:hint="eastAsia" w:ascii="仿宋_GB2312" w:hAnsi="Times New Roman" w:eastAsia="仿宋_GB2312" w:cs="仿宋_GB2312"/>
          <w:sz w:val="32"/>
          <w:szCs w:val="32"/>
          <w:highlight w:val="none"/>
          <w:lang w:val="en-US" w:eastAsia="zh-CN"/>
        </w:rPr>
        <w:t>疫情影响，部分社保未完全支出</w:t>
      </w:r>
      <w:r>
        <w:rPr>
          <w:rFonts w:hint="eastAsia" w:ascii="仿宋_GB2312" w:hAnsi="Times New Roman" w:eastAsia="仿宋_GB2312" w:cs="仿宋_GB2312"/>
          <w:sz w:val="32"/>
          <w:szCs w:val="32"/>
          <w:highlight w:val="none"/>
        </w:rPr>
        <w:t>。</w:t>
      </w:r>
    </w:p>
    <w:p>
      <w:pPr>
        <w:autoSpaceDE w:val="0"/>
        <w:autoSpaceDN w:val="0"/>
        <w:adjustRightInd w:val="0"/>
        <w:spacing w:beforeLines="0" w:afterLines="0" w:line="360" w:lineRule="auto"/>
        <w:ind w:firstLine="640"/>
        <w:rPr>
          <w:rFonts w:hint="default" w:ascii="Times New Roman" w:hAnsi="Times New Roman" w:eastAsia="黑体"/>
          <w:sz w:val="32"/>
          <w:szCs w:val="32"/>
          <w:lang w:val="zh-CN"/>
        </w:rPr>
      </w:pPr>
      <w:r>
        <w:rPr>
          <w:rFonts w:hint="eastAsia" w:ascii="黑体" w:hAnsi="Times New Roman" w:eastAsia="黑体" w:cs="黑体"/>
          <w:sz w:val="32"/>
          <w:szCs w:val="32"/>
          <w:lang w:val="zh-CN"/>
        </w:rPr>
        <w:t>六、一般公共预算财政拨款基本支出决算情况说明</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highlight w:val="yellow"/>
        </w:rPr>
      </w:pPr>
      <w:r>
        <w:rPr>
          <w:rFonts w:hint="eastAsia" w:ascii="仿宋_GB2312" w:hAnsi="Times New Roman" w:eastAsia="仿宋_GB2312" w:cs="仿宋_GB2312"/>
          <w:kern w:val="0"/>
          <w:sz w:val="32"/>
          <w:szCs w:val="32"/>
        </w:rPr>
        <w:t>2022年度一般公共预算财政拨款基本支出696.52万元，其中：</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人员经费640.19万元，包括：基本工资、津贴补贴、机关事业单位基本养老保险缴费、职业年金缴费、职工基本医疗保险缴费、公务员医疗补助缴费、其他社会保障缴费、住房公积金、抚恤金。</w:t>
      </w:r>
    </w:p>
    <w:p>
      <w:pPr>
        <w:autoSpaceDE w:val="0"/>
        <w:autoSpaceDN w:val="0"/>
        <w:adjustRightInd w:val="0"/>
        <w:spacing w:beforeLines="0" w:afterLines="0" w:line="360" w:lineRule="auto"/>
        <w:ind w:firstLine="640"/>
        <w:rPr>
          <w:rFonts w:hint="eastAsia" w:ascii="仿宋_GB2312" w:hAnsi="Times New Roman" w:eastAsia="仿宋_GB2312" w:cs="仿宋_GB2312"/>
          <w:kern w:val="0"/>
          <w:sz w:val="32"/>
          <w:szCs w:val="32"/>
        </w:rPr>
      </w:pPr>
      <w:r>
        <w:rPr>
          <w:rFonts w:hint="eastAsia" w:ascii="仿宋_GB2312" w:hAnsi="Times New Roman" w:eastAsia="仿宋_GB2312" w:cs="仿宋_GB2312"/>
          <w:kern w:val="0"/>
          <w:sz w:val="32"/>
          <w:szCs w:val="32"/>
        </w:rPr>
        <w:t>公用经费56.33万元，包括：办公费、手续费、邮电费、劳务费、福利费、公务用车运行维护费、其他商品和服务支出。</w:t>
      </w:r>
    </w:p>
    <w:p>
      <w:pPr>
        <w:autoSpaceDE w:val="0"/>
        <w:autoSpaceDN w:val="0"/>
        <w:adjustRightInd w:val="0"/>
        <w:spacing w:beforeLines="0" w:afterLines="0" w:line="360" w:lineRule="auto"/>
        <w:ind w:firstLine="640"/>
        <w:rPr>
          <w:rFonts w:hint="default" w:ascii="Times New Roman" w:hAnsi="Times New Roman" w:eastAsia="黑体"/>
          <w:sz w:val="32"/>
          <w:szCs w:val="32"/>
        </w:rPr>
      </w:pPr>
      <w:r>
        <w:rPr>
          <w:rFonts w:hint="eastAsia" w:ascii="黑体" w:hAnsi="Times New Roman" w:eastAsia="黑体" w:cs="黑体"/>
          <w:sz w:val="32"/>
          <w:szCs w:val="32"/>
          <w:lang w:val="zh-CN"/>
        </w:rPr>
        <w:t>七、财政拨款</w:t>
      </w:r>
      <w:r>
        <w:rPr>
          <w:rFonts w:hint="default" w:ascii="Times New Roman" w:hAnsi="Times New Roman" w:eastAsia="黑体" w:cs="黑体"/>
          <w:kern w:val="0"/>
          <w:sz w:val="32"/>
          <w:szCs w:val="32"/>
        </w:rPr>
        <w:t>“</w:t>
      </w:r>
      <w:r>
        <w:rPr>
          <w:rFonts w:hint="eastAsia" w:ascii="黑体" w:hAnsi="Times New Roman" w:eastAsia="黑体" w:cs="黑体"/>
          <w:kern w:val="0"/>
          <w:sz w:val="32"/>
          <w:szCs w:val="32"/>
        </w:rPr>
        <w:t>三公</w:t>
      </w:r>
      <w:r>
        <w:rPr>
          <w:rFonts w:hint="default" w:ascii="Times New Roman" w:hAnsi="Times New Roman" w:eastAsia="黑体" w:cs="黑体"/>
          <w:kern w:val="0"/>
          <w:sz w:val="32"/>
          <w:szCs w:val="32"/>
        </w:rPr>
        <w:t>”</w:t>
      </w:r>
      <w:r>
        <w:rPr>
          <w:rFonts w:hint="eastAsia" w:ascii="黑体" w:hAnsi="Times New Roman" w:eastAsia="黑体" w:cs="黑体"/>
          <w:sz w:val="32"/>
          <w:szCs w:val="32"/>
          <w:lang w:val="zh-CN"/>
        </w:rPr>
        <w:t>经费支出决算情况说明</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highlight w:val="none"/>
        </w:rPr>
      </w:pPr>
      <w:r>
        <w:rPr>
          <w:rFonts w:hint="eastAsia" w:ascii="仿宋_GB2312" w:hAnsi="Times New Roman" w:eastAsia="仿宋_GB2312" w:cs="仿宋_GB2312"/>
          <w:kern w:val="0"/>
          <w:sz w:val="32"/>
          <w:szCs w:val="32"/>
          <w:highlight w:val="none"/>
        </w:rPr>
        <w:t>2022年度</w:t>
      </w:r>
      <w:r>
        <w:rPr>
          <w:rFonts w:hint="eastAsia" w:ascii="仿宋_GB2312" w:hAnsi="Times New Roman" w:eastAsia="仿宋_GB2312" w:cs="仿宋_GB2312"/>
          <w:sz w:val="32"/>
          <w:szCs w:val="32"/>
          <w:highlight w:val="none"/>
        </w:rPr>
        <w:t>财政拨款</w:t>
      </w:r>
      <w:r>
        <w:rPr>
          <w:rFonts w:hint="default" w:ascii="Times New Roman" w:hAnsi="Times New Roman" w:eastAsia="仿宋_GB2312" w:cs="仿宋_GB2312"/>
          <w:kern w:val="0"/>
          <w:sz w:val="32"/>
          <w:szCs w:val="32"/>
          <w:highlight w:val="none"/>
        </w:rPr>
        <w:t>“</w:t>
      </w:r>
      <w:r>
        <w:rPr>
          <w:rFonts w:hint="eastAsia" w:ascii="仿宋_GB2312" w:hAnsi="Times New Roman" w:eastAsia="仿宋_GB2312" w:cs="仿宋_GB2312"/>
          <w:kern w:val="0"/>
          <w:sz w:val="32"/>
          <w:szCs w:val="32"/>
          <w:highlight w:val="none"/>
        </w:rPr>
        <w:t>三公</w:t>
      </w:r>
      <w:r>
        <w:rPr>
          <w:rFonts w:hint="default" w:ascii="Times New Roman" w:hAnsi="Times New Roman" w:eastAsia="仿宋_GB2312" w:cs="仿宋_GB2312"/>
          <w:kern w:val="0"/>
          <w:sz w:val="32"/>
          <w:szCs w:val="32"/>
          <w:highlight w:val="none"/>
        </w:rPr>
        <w:t>”</w:t>
      </w:r>
      <w:r>
        <w:rPr>
          <w:rFonts w:hint="eastAsia" w:ascii="仿宋_GB2312" w:hAnsi="Times New Roman" w:eastAsia="仿宋_GB2312" w:cs="仿宋_GB2312"/>
          <w:kern w:val="0"/>
          <w:sz w:val="32"/>
          <w:szCs w:val="32"/>
          <w:highlight w:val="none"/>
        </w:rPr>
        <w:t>经费支出决算26.40万元，比上年减少16.21万元，下降38.04%，主要原因是：疫情影响</w:t>
      </w:r>
      <w:r>
        <w:rPr>
          <w:rFonts w:hint="eastAsia" w:ascii="仿宋_GB2312" w:hAnsi="Times New Roman" w:eastAsia="仿宋_GB2312" w:cs="仿宋_GB2312"/>
          <w:kern w:val="0"/>
          <w:sz w:val="32"/>
          <w:szCs w:val="32"/>
          <w:highlight w:val="none"/>
          <w:lang w:val="en-US" w:eastAsia="zh-CN"/>
        </w:rPr>
        <w:t>车辆出行次数减少，车辆维修保养费减少，油料费减少</w:t>
      </w:r>
      <w:r>
        <w:rPr>
          <w:rFonts w:hint="eastAsia" w:ascii="仿宋_GB2312" w:hAnsi="Times New Roman" w:eastAsia="仿宋_GB2312" w:cs="仿宋_GB2312"/>
          <w:kern w:val="0"/>
          <w:sz w:val="32"/>
          <w:szCs w:val="32"/>
          <w:highlight w:val="none"/>
        </w:rPr>
        <w:t>。其中：因公出国（境）费支出0.00万元，占0.00%，比上年增加0.00万元，增长0.00%，主要原因是：本年单位无因公出国（境）费支出；公务用车购置及运行维护费支出26.40万元，占100.00%，比上年减少16.10万元，下降37.88%，主要原因是：疫情影响车辆出行次数减少，车辆维修保养费减少，油料费减少；公务接待费支出0.00万元，占0.00%，比上年减少0.11万元，下降100.00%，主要原因是：</w:t>
      </w:r>
      <w:r>
        <w:rPr>
          <w:rFonts w:hint="eastAsia" w:ascii="仿宋_GB2312" w:hAnsi="Times New Roman" w:eastAsia="仿宋_GB2312" w:cs="仿宋_GB2312"/>
          <w:kern w:val="0"/>
          <w:sz w:val="32"/>
          <w:szCs w:val="32"/>
          <w:highlight w:val="none"/>
          <w:lang w:val="en-US" w:eastAsia="zh-CN"/>
        </w:rPr>
        <w:t>本年单位无此项支出</w:t>
      </w:r>
      <w:r>
        <w:rPr>
          <w:rFonts w:hint="eastAsia" w:ascii="仿宋_GB2312" w:hAnsi="Times New Roman" w:eastAsia="仿宋_GB2312" w:cs="仿宋_GB2312"/>
          <w:kern w:val="0"/>
          <w:sz w:val="32"/>
          <w:szCs w:val="32"/>
          <w:highlight w:val="none"/>
        </w:rPr>
        <w:t>。具体情况如下：</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highlight w:val="none"/>
        </w:rPr>
      </w:pPr>
      <w:r>
        <w:rPr>
          <w:rFonts w:hint="eastAsia" w:ascii="仿宋_GB2312" w:hAnsi="Times New Roman" w:eastAsia="仿宋_GB2312" w:cs="仿宋_GB2312"/>
          <w:kern w:val="0"/>
          <w:sz w:val="32"/>
          <w:szCs w:val="32"/>
          <w:highlight w:val="none"/>
        </w:rPr>
        <w:t>因公出国（境）费支出0.00万元，开支内容包括本年单位无因公出国（境）费支出。单位全年安排的因公出国（境）团组0个，因公出国（境）0人次。</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highlight w:val="none"/>
        </w:rPr>
      </w:pPr>
      <w:r>
        <w:rPr>
          <w:rFonts w:hint="eastAsia" w:ascii="仿宋_GB2312" w:hAnsi="Times New Roman" w:eastAsia="仿宋_GB2312" w:cs="仿宋_GB2312"/>
          <w:kern w:val="0"/>
          <w:sz w:val="32"/>
          <w:szCs w:val="32"/>
          <w:highlight w:val="none"/>
        </w:rPr>
        <w:t>公务用车购置及运行维护费26.40万元，其中：公务用车购置费0.00万元，公务用车运行维护费26.40万元。公务用车运行维护费开支内容包括公务用车燃油费、车辆维修维护费、保险费、过路费等。公务用车购置数0辆，公务用车保有量22辆。</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highlight w:val="none"/>
        </w:rPr>
      </w:pPr>
      <w:r>
        <w:rPr>
          <w:rFonts w:hint="eastAsia" w:ascii="仿宋_GB2312" w:hAnsi="Times New Roman" w:eastAsia="仿宋_GB2312" w:cs="仿宋_GB2312"/>
          <w:kern w:val="0"/>
          <w:sz w:val="32"/>
          <w:szCs w:val="32"/>
          <w:highlight w:val="none"/>
        </w:rPr>
        <w:t>公务接待费0.00万元，开支内容包括</w:t>
      </w:r>
      <w:r>
        <w:rPr>
          <w:rFonts w:hint="eastAsia" w:ascii="仿宋_GB2312" w:hAnsi="Times New Roman" w:eastAsia="仿宋_GB2312" w:cs="仿宋_GB2312"/>
          <w:kern w:val="0"/>
          <w:sz w:val="32"/>
          <w:szCs w:val="32"/>
          <w:highlight w:val="none"/>
          <w:lang w:val="en-US" w:eastAsia="zh-CN"/>
        </w:rPr>
        <w:t>本年单位无此项支出</w:t>
      </w:r>
      <w:r>
        <w:rPr>
          <w:rFonts w:hint="eastAsia" w:ascii="仿宋_GB2312" w:hAnsi="Times New Roman" w:eastAsia="仿宋_GB2312" w:cs="仿宋_GB2312"/>
          <w:kern w:val="0"/>
          <w:sz w:val="32"/>
          <w:szCs w:val="32"/>
          <w:highlight w:val="none"/>
        </w:rPr>
        <w:t>。单位全年安排的国内公务接待0批次，0人次。</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highlight w:val="none"/>
        </w:rPr>
      </w:pPr>
      <w:r>
        <w:rPr>
          <w:rFonts w:hint="eastAsia" w:ascii="仿宋_GB2312" w:hAnsi="Times New Roman" w:eastAsia="仿宋_GB2312" w:cs="仿宋_GB2312"/>
          <w:kern w:val="0"/>
          <w:sz w:val="32"/>
          <w:szCs w:val="32"/>
          <w:highlight w:val="none"/>
        </w:rPr>
        <w:t>与</w:t>
      </w:r>
      <w:r>
        <w:rPr>
          <w:rFonts w:hint="eastAsia" w:ascii="仿宋_GB2312" w:hAnsi="Times New Roman" w:eastAsia="仿宋_GB2312" w:cs="仿宋_GB2312"/>
          <w:sz w:val="32"/>
          <w:szCs w:val="32"/>
          <w:highlight w:val="none"/>
        </w:rPr>
        <w:t>全年</w:t>
      </w:r>
      <w:r>
        <w:rPr>
          <w:rFonts w:hint="eastAsia" w:ascii="仿宋_GB2312" w:hAnsi="Times New Roman" w:eastAsia="仿宋_GB2312" w:cs="仿宋_GB2312"/>
          <w:kern w:val="0"/>
          <w:sz w:val="32"/>
          <w:szCs w:val="32"/>
          <w:highlight w:val="none"/>
        </w:rPr>
        <w:t>预算</w:t>
      </w:r>
      <w:r>
        <w:rPr>
          <w:rFonts w:hint="eastAsia" w:ascii="仿宋_GB2312" w:hAnsi="Times New Roman" w:eastAsia="仿宋_GB2312" w:cs="仿宋_GB2312"/>
          <w:kern w:val="0"/>
          <w:sz w:val="32"/>
          <w:szCs w:val="32"/>
          <w:highlight w:val="none"/>
          <w:lang w:val="zh-CN"/>
        </w:rPr>
        <w:t>数</w:t>
      </w:r>
      <w:r>
        <w:rPr>
          <w:rFonts w:hint="eastAsia" w:ascii="仿宋_GB2312" w:hAnsi="Times New Roman" w:eastAsia="仿宋_GB2312" w:cs="仿宋_GB2312"/>
          <w:kern w:val="0"/>
          <w:sz w:val="32"/>
          <w:szCs w:val="32"/>
          <w:highlight w:val="none"/>
        </w:rPr>
        <w:t>相比情况</w:t>
      </w:r>
      <w:r>
        <w:rPr>
          <w:rFonts w:hint="eastAsia" w:ascii="仿宋_GB2312" w:hAnsi="Times New Roman" w:eastAsia="仿宋_GB2312" w:cs="仿宋_GB2312"/>
          <w:sz w:val="32"/>
          <w:szCs w:val="32"/>
          <w:highlight w:val="none"/>
        </w:rPr>
        <w:t>：</w:t>
      </w:r>
      <w:r>
        <w:rPr>
          <w:rFonts w:hint="default" w:ascii="Times New Roman" w:hAnsi="Times New Roman" w:eastAsia="仿宋_GB2312"/>
          <w:kern w:val="0"/>
          <w:sz w:val="32"/>
          <w:szCs w:val="32"/>
          <w:highlight w:val="none"/>
        </w:rPr>
        <w:t>“</w:t>
      </w:r>
      <w:r>
        <w:rPr>
          <w:rFonts w:hint="eastAsia" w:ascii="仿宋_GB2312" w:hAnsi="Times New Roman" w:eastAsia="仿宋_GB2312" w:cs="仿宋_GB2312"/>
          <w:kern w:val="0"/>
          <w:sz w:val="32"/>
          <w:szCs w:val="32"/>
          <w:highlight w:val="none"/>
        </w:rPr>
        <w:t>三公</w:t>
      </w:r>
      <w:r>
        <w:rPr>
          <w:rFonts w:hint="default" w:ascii="Times New Roman" w:hAnsi="Times New Roman" w:eastAsia="仿宋_GB2312"/>
          <w:kern w:val="0"/>
          <w:sz w:val="32"/>
          <w:szCs w:val="32"/>
          <w:highlight w:val="none"/>
        </w:rPr>
        <w:t>”</w:t>
      </w:r>
      <w:r>
        <w:rPr>
          <w:rFonts w:hint="eastAsia" w:ascii="仿宋_GB2312" w:hAnsi="Times New Roman" w:eastAsia="仿宋_GB2312" w:cs="仿宋_GB2312"/>
          <w:kern w:val="0"/>
          <w:sz w:val="32"/>
          <w:szCs w:val="32"/>
          <w:highlight w:val="none"/>
        </w:rPr>
        <w:t>经费支出</w:t>
      </w:r>
      <w:r>
        <w:rPr>
          <w:rFonts w:hint="eastAsia" w:ascii="仿宋_GB2312" w:hAnsi="Times New Roman" w:eastAsia="仿宋_GB2312" w:cs="仿宋_GB2312"/>
          <w:sz w:val="32"/>
          <w:szCs w:val="32"/>
          <w:highlight w:val="none"/>
        </w:rPr>
        <w:t>全年预算数</w:t>
      </w:r>
      <w:r>
        <w:rPr>
          <w:rFonts w:hint="eastAsia" w:ascii="仿宋_GB2312" w:hAnsi="Times New Roman" w:eastAsia="仿宋_GB2312" w:cs="仿宋_GB2312"/>
          <w:kern w:val="0"/>
          <w:sz w:val="32"/>
          <w:szCs w:val="32"/>
          <w:highlight w:val="none"/>
        </w:rPr>
        <w:t>26.40万元，决算数26.40万元，预决算差异率0.00%，主要原因是：单位严格执行“三公”经费支出标准，未超预算。其中：因公出国（境）费全年预算数0.00万元，决算数0.00万元，预决算差异率0.00%，主要原因是：本年单位无因公出国（境）费支出；公务用车购置费全年预算数0.00万元，决算数0.00万元，预决算差异率0.00%，主要原因是：</w:t>
      </w:r>
      <w:r>
        <w:rPr>
          <w:rFonts w:hint="eastAsia" w:ascii="仿宋_GB2312" w:hAnsi="Times New Roman" w:eastAsia="仿宋_GB2312" w:cs="仿宋_GB2312"/>
          <w:kern w:val="0"/>
          <w:sz w:val="32"/>
          <w:szCs w:val="32"/>
          <w:highlight w:val="none"/>
          <w:lang w:val="en-US" w:eastAsia="zh-CN"/>
        </w:rPr>
        <w:t>本年单位无此项支出</w:t>
      </w:r>
      <w:r>
        <w:rPr>
          <w:rFonts w:hint="eastAsia" w:ascii="仿宋_GB2312" w:hAnsi="Times New Roman" w:eastAsia="仿宋_GB2312" w:cs="仿宋_GB2312"/>
          <w:kern w:val="0"/>
          <w:sz w:val="32"/>
          <w:szCs w:val="32"/>
          <w:highlight w:val="none"/>
        </w:rPr>
        <w:t>；公务用车运行费全年预算数26.40万元，决算数26.40万元，预决算差异率0.00%，主要原因是：单位严格执行“三公”经费支出标准，未超预算；公务接待费全年预算数0.00万元，决算数0.00万元，预决算差异率0.00%，主要原因是：</w:t>
      </w:r>
      <w:r>
        <w:rPr>
          <w:rFonts w:hint="eastAsia" w:ascii="仿宋_GB2312" w:hAnsi="Times New Roman" w:eastAsia="仿宋_GB2312" w:cs="仿宋_GB2312"/>
          <w:kern w:val="0"/>
          <w:sz w:val="32"/>
          <w:szCs w:val="32"/>
          <w:highlight w:val="none"/>
          <w:lang w:val="en-US" w:eastAsia="zh-CN"/>
        </w:rPr>
        <w:t>本年单位无此项支出</w:t>
      </w:r>
      <w:r>
        <w:rPr>
          <w:rFonts w:hint="eastAsia" w:ascii="仿宋_GB2312" w:hAnsi="Times New Roman" w:eastAsia="仿宋_GB2312" w:cs="仿宋_GB2312"/>
          <w:kern w:val="0"/>
          <w:sz w:val="32"/>
          <w:szCs w:val="32"/>
          <w:highlight w:val="none"/>
        </w:rPr>
        <w:t>。</w:t>
      </w:r>
    </w:p>
    <w:p>
      <w:pPr>
        <w:autoSpaceDE w:val="0"/>
        <w:autoSpaceDN w:val="0"/>
        <w:adjustRightInd w:val="0"/>
        <w:spacing w:beforeLines="0" w:afterLines="0" w:line="360" w:lineRule="auto"/>
        <w:ind w:firstLine="640"/>
        <w:rPr>
          <w:rFonts w:hint="default" w:ascii="Times New Roman" w:hAnsi="Times New Roman" w:eastAsia="黑体"/>
          <w:sz w:val="32"/>
          <w:szCs w:val="32"/>
          <w:lang w:val="zh-CN"/>
        </w:rPr>
      </w:pPr>
      <w:r>
        <w:rPr>
          <w:rFonts w:hint="eastAsia" w:ascii="黑体" w:hAnsi="Times New Roman" w:eastAsia="黑体" w:cs="黑体"/>
          <w:sz w:val="32"/>
          <w:szCs w:val="32"/>
          <w:lang w:val="zh-CN"/>
        </w:rPr>
        <w:t>八、政府性基金预算财政拨款收入支出决算情况说明</w:t>
      </w:r>
    </w:p>
    <w:p>
      <w:pPr>
        <w:shd w:val="clear" w:color="auto" w:fill="FFFFFF"/>
        <w:autoSpaceDE w:val="0"/>
        <w:autoSpaceDN w:val="0"/>
        <w:adjustRightInd w:val="0"/>
        <w:spacing w:beforeLines="0" w:afterLines="0" w:line="360" w:lineRule="auto"/>
        <w:ind w:firstLine="640"/>
        <w:rPr>
          <w:rFonts w:hint="eastAsia" w:ascii="仿宋_GB2312" w:hAnsi="Times New Roman" w:eastAsia="仿宋_GB2312" w:cs="仿宋_GB2312"/>
          <w:kern w:val="0"/>
          <w:sz w:val="32"/>
          <w:szCs w:val="32"/>
          <w:highlight w:val="yellow"/>
        </w:rPr>
      </w:pPr>
      <w:r>
        <w:rPr>
          <w:rFonts w:hint="eastAsia" w:ascii="仿宋_GB2312" w:hAnsi="Times New Roman" w:eastAsia="仿宋_GB2312" w:cs="仿宋_GB2312"/>
          <w:kern w:val="0"/>
          <w:sz w:val="32"/>
          <w:szCs w:val="32"/>
        </w:rPr>
        <w:t>我单位本年度无政府性基金预算财政拨款收入、支出及结转和结余，政府性基金预算财政拨款收入支出决算表为空表。</w:t>
      </w:r>
    </w:p>
    <w:p>
      <w:pPr>
        <w:autoSpaceDE w:val="0"/>
        <w:autoSpaceDN w:val="0"/>
        <w:adjustRightInd w:val="0"/>
        <w:spacing w:beforeLines="0" w:afterLines="0" w:line="360" w:lineRule="auto"/>
        <w:ind w:firstLine="640"/>
        <w:rPr>
          <w:rFonts w:hint="default" w:ascii="Times New Roman" w:hAnsi="Times New Roman" w:eastAsia="黑体"/>
          <w:sz w:val="32"/>
          <w:szCs w:val="32"/>
          <w:lang w:val="zh-CN"/>
        </w:rPr>
      </w:pPr>
      <w:r>
        <w:rPr>
          <w:rFonts w:hint="eastAsia" w:ascii="黑体" w:hAnsi="Times New Roman" w:eastAsia="黑体" w:cs="黑体"/>
          <w:sz w:val="32"/>
          <w:szCs w:val="32"/>
          <w:lang w:val="zh-CN"/>
        </w:rPr>
        <w:t>九、国有资本经营预算财政拨款收入支出决算情况说明</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我单位本年度无国有资本经营预算财政拨款收入、支出及结转和结余，国有资本经营预算财政拨款收入支出决算表为空表。</w:t>
      </w:r>
    </w:p>
    <w:p>
      <w:pPr>
        <w:autoSpaceDE w:val="0"/>
        <w:autoSpaceDN w:val="0"/>
        <w:adjustRightInd w:val="0"/>
        <w:spacing w:beforeLines="0" w:afterLines="0" w:line="360" w:lineRule="auto"/>
        <w:ind w:firstLine="640"/>
        <w:rPr>
          <w:rFonts w:hint="default" w:ascii="Times New Roman" w:hAnsi="Times New Roman" w:eastAsia="黑体"/>
          <w:sz w:val="32"/>
          <w:szCs w:val="32"/>
          <w:lang w:val="zh-CN"/>
        </w:rPr>
      </w:pPr>
      <w:r>
        <w:rPr>
          <w:rFonts w:hint="eastAsia" w:ascii="黑体" w:hAnsi="Times New Roman" w:eastAsia="黑体" w:cs="黑体"/>
          <w:sz w:val="32"/>
          <w:szCs w:val="32"/>
          <w:lang w:val="zh-CN"/>
        </w:rPr>
        <w:t>十、其他重要事项的情况说明</w:t>
      </w:r>
    </w:p>
    <w:p>
      <w:pPr>
        <w:autoSpaceDE w:val="0"/>
        <w:autoSpaceDN w:val="0"/>
        <w:adjustRightInd w:val="0"/>
        <w:spacing w:beforeLines="0" w:afterLines="0" w:line="360" w:lineRule="auto"/>
        <w:ind w:firstLine="640"/>
        <w:rPr>
          <w:rFonts w:hint="default" w:ascii="Times New Roman" w:hAnsi="Times New Roman" w:eastAsia="黑体"/>
          <w:sz w:val="32"/>
          <w:szCs w:val="32"/>
          <w:lang w:val="zh-CN"/>
        </w:rPr>
      </w:pPr>
      <w:r>
        <w:rPr>
          <w:rFonts w:hint="eastAsia" w:ascii="黑体" w:hAnsi="Times New Roman" w:eastAsia="黑体" w:cs="黑体"/>
          <w:sz w:val="32"/>
          <w:szCs w:val="32"/>
          <w:lang w:val="zh-CN"/>
        </w:rPr>
        <w:t xml:space="preserve">（一）机关运行经费支出情况 </w:t>
      </w:r>
    </w:p>
    <w:p>
      <w:pPr>
        <w:autoSpaceDE w:val="0"/>
        <w:autoSpaceDN w:val="0"/>
        <w:adjustRightInd w:val="0"/>
        <w:spacing w:beforeLines="0" w:afterLines="0" w:line="360" w:lineRule="auto"/>
        <w:ind w:firstLine="640"/>
        <w:rPr>
          <w:rFonts w:hint="default" w:ascii="Times New Roman" w:hAnsi="Times New Roman" w:eastAsia="仿宋_GB2312"/>
          <w:kern w:val="0"/>
          <w:sz w:val="32"/>
          <w:szCs w:val="32"/>
          <w:highlight w:val="none"/>
        </w:rPr>
      </w:pPr>
      <w:r>
        <w:rPr>
          <w:rFonts w:hint="eastAsia" w:ascii="仿宋_GB2312" w:hAnsi="Times New Roman" w:eastAsia="仿宋_GB2312" w:cs="仿宋_GB2312"/>
          <w:kern w:val="0"/>
          <w:sz w:val="32"/>
          <w:szCs w:val="32"/>
        </w:rPr>
        <w:t>2022年度乌鲁木齐市米东区司法局单位机关运行经费支出56.32万元，比上</w:t>
      </w:r>
      <w:r>
        <w:rPr>
          <w:rFonts w:hint="eastAsia" w:ascii="仿宋_GB2312" w:hAnsi="Times New Roman" w:eastAsia="仿宋_GB2312" w:cs="仿宋_GB2312"/>
          <w:kern w:val="0"/>
          <w:sz w:val="32"/>
          <w:szCs w:val="32"/>
          <w:highlight w:val="none"/>
        </w:rPr>
        <w:t>年减少288.74万元，下降83.68%，主要原因是：本年受疫情影响，单位业务量减少，相关办公费、委托业务费、劳务费减少。</w:t>
      </w:r>
    </w:p>
    <w:p>
      <w:pPr>
        <w:autoSpaceDE w:val="0"/>
        <w:autoSpaceDN w:val="0"/>
        <w:adjustRightInd w:val="0"/>
        <w:spacing w:beforeLines="0" w:afterLines="0" w:line="360" w:lineRule="auto"/>
        <w:ind w:firstLine="640"/>
        <w:rPr>
          <w:rFonts w:hint="default" w:ascii="Times New Roman" w:hAnsi="Times New Roman" w:eastAsia="黑体"/>
          <w:sz w:val="32"/>
          <w:szCs w:val="32"/>
          <w:highlight w:val="none"/>
        </w:rPr>
      </w:pPr>
      <w:r>
        <w:rPr>
          <w:rFonts w:hint="eastAsia" w:ascii="黑体" w:hAnsi="Times New Roman" w:eastAsia="黑体" w:cs="黑体"/>
          <w:sz w:val="32"/>
          <w:szCs w:val="32"/>
          <w:highlight w:val="none"/>
        </w:rPr>
        <w:t>（</w:t>
      </w:r>
      <w:r>
        <w:rPr>
          <w:rFonts w:hint="eastAsia" w:ascii="黑体" w:hAnsi="Times New Roman" w:eastAsia="黑体" w:cs="黑体"/>
          <w:sz w:val="32"/>
          <w:szCs w:val="32"/>
          <w:highlight w:val="none"/>
          <w:lang w:val="zh-CN"/>
        </w:rPr>
        <w:t>二</w:t>
      </w:r>
      <w:r>
        <w:rPr>
          <w:rFonts w:hint="eastAsia" w:ascii="黑体" w:hAnsi="Times New Roman" w:eastAsia="黑体" w:cs="黑体"/>
          <w:sz w:val="32"/>
          <w:szCs w:val="32"/>
          <w:highlight w:val="none"/>
        </w:rPr>
        <w:t>）</w:t>
      </w:r>
      <w:r>
        <w:rPr>
          <w:rFonts w:hint="eastAsia" w:ascii="黑体" w:hAnsi="Times New Roman" w:eastAsia="黑体" w:cs="黑体"/>
          <w:sz w:val="32"/>
          <w:szCs w:val="32"/>
          <w:highlight w:val="none"/>
          <w:lang w:val="zh-CN"/>
        </w:rPr>
        <w:t>政府采购情况</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2022年度政府采购支出总额31.35万元，其中：政府采购货物支出3.19万元、政府采购工程支出0.00万元、政府采购服务支出28.16万元。</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授予中小企业合同金额31.35万元，占政府采购支出总额的100.00%，其中：授予小微企业合同金额30.81万元，占政府采购支出总额的98.28%。</w:t>
      </w:r>
    </w:p>
    <w:p>
      <w:pPr>
        <w:autoSpaceDE w:val="0"/>
        <w:autoSpaceDN w:val="0"/>
        <w:adjustRightInd w:val="0"/>
        <w:spacing w:beforeLines="0" w:afterLines="0" w:line="360" w:lineRule="auto"/>
        <w:ind w:firstLine="640"/>
        <w:rPr>
          <w:rFonts w:hint="default" w:ascii="Times New Roman" w:hAnsi="Times New Roman" w:eastAsia="黑体"/>
          <w:sz w:val="32"/>
          <w:szCs w:val="32"/>
          <w:lang w:val="zh-CN"/>
        </w:rPr>
      </w:pPr>
      <w:r>
        <w:rPr>
          <w:rFonts w:hint="eastAsia" w:ascii="黑体" w:hAnsi="Times New Roman" w:eastAsia="黑体" w:cs="黑体"/>
          <w:sz w:val="32"/>
          <w:szCs w:val="32"/>
          <w:lang w:val="zh-CN"/>
        </w:rPr>
        <w:t>（三）国有资产占用情况说明</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highlight w:val="none"/>
        </w:rPr>
      </w:pPr>
      <w:r>
        <w:rPr>
          <w:rFonts w:hint="eastAsia" w:ascii="仿宋_GB2312" w:hAnsi="Times New Roman" w:eastAsia="仿宋_GB2312" w:cs="仿宋_GB2312"/>
          <w:kern w:val="0"/>
          <w:sz w:val="32"/>
          <w:szCs w:val="32"/>
        </w:rPr>
        <w:t>截止2022年12月31日，</w:t>
      </w:r>
      <w:r>
        <w:rPr>
          <w:rFonts w:hint="eastAsia" w:ascii="仿宋_GB2312" w:hAnsi="Times New Roman" w:eastAsia="仿宋_GB2312" w:cs="仿宋_GB2312"/>
          <w:sz w:val="32"/>
          <w:szCs w:val="32"/>
        </w:rPr>
        <w:t>固定资产原值</w:t>
      </w:r>
      <w:r>
        <w:rPr>
          <w:rFonts w:hint="eastAsia" w:ascii="仿宋_GB2312" w:hAnsi="Times New Roman" w:eastAsia="仿宋_GB2312" w:cs="仿宋_GB2312"/>
          <w:kern w:val="0"/>
          <w:sz w:val="32"/>
          <w:szCs w:val="32"/>
        </w:rPr>
        <w:t>1,594.05</w:t>
      </w:r>
      <w:r>
        <w:rPr>
          <w:rFonts w:hint="eastAsia" w:ascii="仿宋_GB2312" w:hAnsi="Times New Roman" w:eastAsia="仿宋_GB2312" w:cs="仿宋_GB2312"/>
          <w:sz w:val="32"/>
          <w:szCs w:val="32"/>
        </w:rPr>
        <w:t>万元，</w:t>
      </w:r>
      <w:r>
        <w:rPr>
          <w:rFonts w:hint="eastAsia" w:ascii="仿宋_GB2312" w:hAnsi="Times New Roman" w:eastAsia="仿宋_GB2312" w:cs="仿宋_GB2312"/>
          <w:kern w:val="0"/>
          <w:sz w:val="32"/>
          <w:szCs w:val="32"/>
        </w:rPr>
        <w:t>房屋0.00平方米，价值0.00万元。车辆25辆，价值288.82万元，其中：副部（省）</w:t>
      </w:r>
      <w:r>
        <w:rPr>
          <w:rFonts w:hint="eastAsia" w:ascii="仿宋_GB2312" w:hAnsi="Times New Roman" w:eastAsia="仿宋_GB2312" w:cs="仿宋_GB2312"/>
          <w:kern w:val="0"/>
          <w:sz w:val="32"/>
          <w:szCs w:val="32"/>
          <w:highlight w:val="none"/>
        </w:rPr>
        <w:t>级及以上领导用车0辆、主要领导干部用车1辆、机要通信用车0辆、应急保障用车2辆、执法执勤用车22辆、特种专业技术用车0辆、离退休干部用车0辆、其他用车0辆，其他用车主要是：</w:t>
      </w:r>
      <w:r>
        <w:rPr>
          <w:rFonts w:hint="eastAsia" w:ascii="仿宋_GB2312" w:hAnsi="Times New Roman" w:eastAsia="仿宋_GB2312" w:cs="仿宋_GB2312"/>
          <w:kern w:val="0"/>
          <w:sz w:val="32"/>
          <w:szCs w:val="32"/>
          <w:highlight w:val="none"/>
          <w:lang w:val="en-US" w:eastAsia="zh-CN"/>
        </w:rPr>
        <w:t>我单位无其他用车</w:t>
      </w:r>
      <w:r>
        <w:rPr>
          <w:rFonts w:hint="eastAsia" w:ascii="仿宋_GB2312" w:hAnsi="Times New Roman" w:eastAsia="仿宋_GB2312" w:cs="仿宋_GB2312"/>
          <w:kern w:val="0"/>
          <w:sz w:val="32"/>
          <w:szCs w:val="32"/>
          <w:highlight w:val="none"/>
        </w:rPr>
        <w:t>；单价100</w:t>
      </w:r>
      <w:r>
        <w:rPr>
          <w:rFonts w:hint="eastAsia" w:ascii="仿宋_GB2312" w:hAnsi="Times New Roman" w:eastAsia="仿宋_GB2312" w:cs="仿宋_GB2312"/>
          <w:sz w:val="32"/>
          <w:szCs w:val="32"/>
          <w:highlight w:val="none"/>
        </w:rPr>
        <w:t>万元（含）以上设备（不含车辆）</w:t>
      </w:r>
      <w:r>
        <w:rPr>
          <w:rFonts w:hint="eastAsia" w:ascii="仿宋_GB2312" w:hAnsi="Times New Roman" w:eastAsia="仿宋_GB2312" w:cs="仿宋_GB2312"/>
          <w:kern w:val="0"/>
          <w:sz w:val="32"/>
          <w:szCs w:val="32"/>
          <w:highlight w:val="none"/>
        </w:rPr>
        <w:t>4台（套）。</w:t>
      </w:r>
    </w:p>
    <w:p>
      <w:pPr>
        <w:autoSpaceDE w:val="0"/>
        <w:autoSpaceDN w:val="0"/>
        <w:adjustRightInd w:val="0"/>
        <w:spacing w:beforeLines="0" w:afterLines="0" w:line="360" w:lineRule="auto"/>
        <w:ind w:firstLine="640"/>
        <w:rPr>
          <w:rFonts w:hint="default" w:ascii="Times New Roman" w:hAnsi="Times New Roman" w:eastAsia="黑体"/>
          <w:sz w:val="32"/>
          <w:szCs w:val="32"/>
          <w:lang w:val="zh-CN"/>
        </w:rPr>
      </w:pPr>
      <w:r>
        <w:rPr>
          <w:rFonts w:hint="eastAsia" w:ascii="黑体" w:hAnsi="Times New Roman" w:eastAsia="黑体" w:cs="黑体"/>
          <w:sz w:val="32"/>
          <w:szCs w:val="32"/>
          <w:lang w:val="zh-CN"/>
        </w:rPr>
        <w:t>十一、预算绩效的情况说明</w:t>
      </w:r>
    </w:p>
    <w:p>
      <w:pPr>
        <w:spacing w:line="360" w:lineRule="auto"/>
        <w:ind w:firstLine="561"/>
        <w:rPr>
          <w:rFonts w:hint="eastAsia" w:ascii="仿宋_GB2312" w:hAnsi="Times New Roman" w:eastAsia="仿宋_GB2312" w:cs="仿宋_GB2312"/>
          <w:kern w:val="0"/>
          <w:sz w:val="32"/>
          <w:szCs w:val="32"/>
        </w:rPr>
      </w:pPr>
      <w:r>
        <w:rPr>
          <w:rFonts w:hint="eastAsia" w:ascii="仿宋_GB2312" w:hAnsi="Times New Roman" w:eastAsia="仿宋_GB2312" w:cs="仿宋_GB2312"/>
          <w:kern w:val="0"/>
          <w:sz w:val="32"/>
          <w:szCs w:val="32"/>
          <w:highlight w:val="none"/>
        </w:rPr>
        <w:t>根据预算绩效管理要求，我单位2022年度开展预算绩效评价项目2个，</w:t>
      </w:r>
      <w:r>
        <w:rPr>
          <w:rFonts w:hint="eastAsia" w:ascii="仿宋_GB2312" w:hAnsi="Times New Roman" w:eastAsia="仿宋_GB2312" w:cs="仿宋_GB2312"/>
          <w:sz w:val="32"/>
          <w:szCs w:val="32"/>
          <w:highlight w:val="none"/>
        </w:rPr>
        <w:t>全年预算数</w:t>
      </w:r>
      <w:r>
        <w:rPr>
          <w:rFonts w:hint="eastAsia" w:ascii="仿宋_GB2312" w:hAnsi="Times New Roman" w:eastAsia="仿宋_GB2312" w:cs="仿宋_GB2312"/>
          <w:kern w:val="0"/>
          <w:sz w:val="32"/>
          <w:szCs w:val="32"/>
          <w:highlight w:val="none"/>
        </w:rPr>
        <w:t>157</w:t>
      </w:r>
      <w:r>
        <w:rPr>
          <w:rFonts w:hint="eastAsia" w:ascii="仿宋_GB2312" w:hAnsi="Times New Roman" w:eastAsia="仿宋_GB2312" w:cs="仿宋_GB2312"/>
          <w:kern w:val="0"/>
          <w:sz w:val="32"/>
          <w:szCs w:val="32"/>
          <w:highlight w:val="none"/>
          <w:lang w:val="en-US" w:eastAsia="zh-CN"/>
        </w:rPr>
        <w:t>.00</w:t>
      </w:r>
      <w:r>
        <w:rPr>
          <w:rFonts w:hint="eastAsia" w:ascii="仿宋_GB2312" w:hAnsi="Times New Roman" w:eastAsia="仿宋_GB2312" w:cs="仿宋_GB2312"/>
          <w:sz w:val="32"/>
          <w:szCs w:val="32"/>
          <w:highlight w:val="none"/>
        </w:rPr>
        <w:t>万元，全年执行数</w:t>
      </w:r>
      <w:r>
        <w:rPr>
          <w:rFonts w:hint="eastAsia" w:ascii="仿宋_GB2312" w:hAnsi="Times New Roman" w:eastAsia="仿宋_GB2312" w:cs="仿宋_GB2312"/>
          <w:kern w:val="0"/>
          <w:sz w:val="32"/>
          <w:szCs w:val="32"/>
          <w:highlight w:val="none"/>
          <w:lang w:val="en-US" w:eastAsia="zh-CN"/>
        </w:rPr>
        <w:t>104.58</w:t>
      </w:r>
      <w:r>
        <w:rPr>
          <w:rFonts w:hint="eastAsia" w:ascii="仿宋_GB2312" w:hAnsi="Times New Roman" w:eastAsia="仿宋_GB2312" w:cs="仿宋_GB2312"/>
          <w:sz w:val="32"/>
          <w:szCs w:val="32"/>
          <w:highlight w:val="none"/>
        </w:rPr>
        <w:t>万元。</w:t>
      </w:r>
      <w:r>
        <w:rPr>
          <w:rFonts w:hint="eastAsia" w:ascii="仿宋_GB2312" w:hAnsi="Times New Roman" w:eastAsia="仿宋_GB2312" w:cs="仿宋_GB2312"/>
          <w:kern w:val="0"/>
          <w:sz w:val="32"/>
          <w:szCs w:val="32"/>
          <w:highlight w:val="none"/>
        </w:rPr>
        <w:t>预算绩效管理取得的成效：一是该项目资金区财政及时拨付，单位在此次评价期间内，有序完成设定目标的工作任务；二是2022年米东区司法局认真贯彻落实党的十九届历次全会和党的二十大会议精神及第三次中央新疆工作座谈会精神，紧扣区委、区政府中心工作和上级司法行政部门工作部署，全面履行司法行政职责，贯彻落实“谁执法谁普法”责任制，严格按照“谁执法谁普法、谁主管谁普法、谁服务谁普法”要求，推动普法责任制落到实处；认真学习“枫桥经验”大力加强人民调解规范化建设，2022年共计排查各类社会矛盾纠纷1302件，调处1302件，调解成功率100%，完善公共法律服务体系，实现全区公共法律服务工作全覆盖，加大法律援助、公共法律服务宣传力度，2022年共受理法律援助案件226件，接待群众法律咨询1172余人次，有效维护群众的合法权益，社区矫正、人民调解、法制宣传等各项工作有序开展，较好地完成了年初设定的目标。</w:t>
      </w:r>
      <w:r>
        <w:rPr>
          <w:rFonts w:hint="eastAsia" w:ascii="仿宋_GB2312" w:hAnsi="Times New Roman" w:eastAsia="仿宋_GB2312" w:cs="仿宋_GB2312"/>
          <w:kern w:val="0"/>
          <w:sz w:val="32"/>
          <w:szCs w:val="32"/>
        </w:rPr>
        <w:t>发现的问题及原因：一是指标评价体系中指标权重的确定、定性指标的计分等缺乏科学依据，绩效指标体系不够科学，细化程度不够深</w:t>
      </w:r>
      <w:r>
        <w:rPr>
          <w:rFonts w:hint="eastAsia" w:ascii="仿宋_GB2312" w:hAnsi="Times New Roman" w:eastAsia="仿宋_GB2312" w:cs="仿宋_GB2312"/>
          <w:kern w:val="0"/>
          <w:sz w:val="32"/>
          <w:szCs w:val="32"/>
          <w:lang w:eastAsia="zh-CN"/>
        </w:rPr>
        <w:t>；</w:t>
      </w:r>
      <w:r>
        <w:rPr>
          <w:rFonts w:hint="eastAsia" w:ascii="仿宋_GB2312" w:hAnsi="Times New Roman" w:eastAsia="仿宋_GB2312" w:cs="仿宋_GB2312"/>
          <w:kern w:val="0"/>
          <w:sz w:val="32"/>
          <w:szCs w:val="32"/>
        </w:rPr>
        <w:t>二是项目支出预算执行情况还有待加强，财务结算和报账还应更加及时和科学合理，资金使用效益有待进一步提高</w:t>
      </w:r>
      <w:r>
        <w:rPr>
          <w:rFonts w:hint="eastAsia" w:ascii="仿宋_GB2312" w:hAnsi="Times New Roman" w:eastAsia="仿宋_GB2312" w:cs="仿宋_GB2312"/>
          <w:kern w:val="0"/>
          <w:sz w:val="32"/>
          <w:szCs w:val="32"/>
          <w:highlight w:val="none"/>
        </w:rPr>
        <w:t>。下一步改进措施</w:t>
      </w:r>
      <w:r>
        <w:rPr>
          <w:rFonts w:hint="eastAsia" w:ascii="仿宋_GB2312" w:hAnsi="Times New Roman" w:eastAsia="仿宋_GB2312" w:cs="仿宋_GB2312"/>
          <w:kern w:val="0"/>
          <w:sz w:val="32"/>
          <w:szCs w:val="32"/>
        </w:rPr>
        <w:t>：</w:t>
      </w:r>
      <w:r>
        <w:rPr>
          <w:rFonts w:hint="eastAsia" w:ascii="仿宋_GB2312" w:hAnsi="Times New Roman" w:eastAsia="仿宋_GB2312" w:cs="仿宋_GB2312"/>
          <w:kern w:val="0"/>
          <w:sz w:val="32"/>
          <w:szCs w:val="32"/>
          <w:highlight w:val="none"/>
        </w:rPr>
        <w:t>一是绩效目标贯穿项目实施的整个周期，指导着项目的发展方向</w:t>
      </w:r>
      <w:r>
        <w:rPr>
          <w:rFonts w:hint="eastAsia" w:ascii="仿宋_GB2312" w:hAnsi="Times New Roman" w:eastAsia="仿宋_GB2312" w:cs="仿宋_GB2312"/>
          <w:kern w:val="0"/>
          <w:sz w:val="32"/>
          <w:szCs w:val="32"/>
          <w:highlight w:val="none"/>
          <w:lang w:eastAsia="zh-CN"/>
        </w:rPr>
        <w:t>，</w:t>
      </w:r>
      <w:r>
        <w:rPr>
          <w:rFonts w:hint="eastAsia" w:ascii="仿宋_GB2312" w:hAnsi="Times New Roman" w:eastAsia="仿宋_GB2312" w:cs="仿宋_GB2312"/>
          <w:kern w:val="0"/>
          <w:sz w:val="32"/>
          <w:szCs w:val="32"/>
          <w:highlight w:val="none"/>
        </w:rPr>
        <w:t>绩效指标是绩效目标的具体化对项目实施的各个阶段起着考核、监督、引导的作用；二是我单位在以后年度财政项目绩效目标申报工作中将结合项目实施内容及特点，</w:t>
      </w:r>
      <w:bookmarkStart w:id="0" w:name="_GoBack"/>
      <w:bookmarkEnd w:id="0"/>
      <w:r>
        <w:rPr>
          <w:rFonts w:hint="eastAsia" w:ascii="仿宋_GB2312" w:hAnsi="Times New Roman" w:eastAsia="仿宋_GB2312" w:cs="仿宋_GB2312"/>
          <w:kern w:val="0"/>
          <w:sz w:val="32"/>
          <w:szCs w:val="32"/>
          <w:highlight w:val="none"/>
        </w:rPr>
        <w:t>设定项目总目标、年度绩效目标及绩效指标，形成项目有目标、工作有计划、绩效可量化、考核有依据的计划自标管理机制，便于有效考核执行效果。具体项目</w:t>
      </w:r>
      <w:r>
        <w:rPr>
          <w:rFonts w:hint="eastAsia" w:ascii="仿宋_GB2312" w:hAnsi="Times New Roman" w:eastAsia="仿宋_GB2312" w:cs="仿宋_GB2312"/>
          <w:kern w:val="0"/>
          <w:sz w:val="32"/>
          <w:szCs w:val="32"/>
        </w:rPr>
        <w:t>自评情况附项目支出绩效自评表。</w:t>
      </w:r>
    </w:p>
    <w:tbl>
      <w:tblPr>
        <w:tblStyle w:val="4"/>
        <w:tblW w:w="48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8"/>
        <w:gridCol w:w="843"/>
        <w:gridCol w:w="945"/>
        <w:gridCol w:w="1664"/>
        <w:gridCol w:w="831"/>
        <w:gridCol w:w="831"/>
        <w:gridCol w:w="873"/>
        <w:gridCol w:w="762"/>
        <w:gridCol w:w="209"/>
        <w:gridCol w:w="8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347" w:type="dxa"/>
            <w:gridSpan w:val="10"/>
            <w:tcBorders>
              <w:top w:val="nil"/>
              <w:left w:val="nil"/>
              <w:bottom w:val="nil"/>
              <w:right w:val="nil"/>
              <w:tl2br w:val="nil"/>
              <w:tr2bl w:val="nil"/>
            </w:tcBorders>
            <w:noWrap w:val="0"/>
            <w:vAlign w:val="center"/>
          </w:tcPr>
          <w:p>
            <w:pPr>
              <w:widowControl/>
              <w:spacing w:beforeLines="0" w:afterLines="0"/>
              <w:jc w:val="center"/>
              <w:rPr>
                <w:rFonts w:hint="eastAsia" w:ascii="宋体" w:hAnsi="宋体" w:eastAsia="宋体" w:cs="宋体"/>
                <w:b/>
                <w:color w:val="000000"/>
                <w:kern w:val="0"/>
                <w:sz w:val="32"/>
                <w:szCs w:val="32"/>
              </w:rPr>
            </w:pPr>
            <w:r>
              <w:rPr>
                <w:rFonts w:hint="eastAsia" w:ascii="宋体" w:hAnsi="宋体" w:eastAsia="宋体" w:cs="宋体"/>
                <w:b/>
                <w:color w:val="000000"/>
                <w:kern w:val="0"/>
                <w:sz w:val="32"/>
                <w:szCs w:val="32"/>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8347" w:type="dxa"/>
            <w:gridSpan w:val="10"/>
            <w:tcBorders>
              <w:top w:val="nil"/>
              <w:left w:val="nil"/>
              <w:bottom w:val="single" w:color="auto" w:sz="4" w:space="0"/>
              <w:right w:val="nil"/>
              <w:tl2br w:val="nil"/>
              <w:tr2bl w:val="nil"/>
            </w:tcBorders>
            <w:noWrap w:val="0"/>
            <w:vAlign w:val="center"/>
          </w:tcPr>
          <w:p>
            <w:pPr>
              <w:widowControl/>
              <w:spacing w:beforeLines="0" w:afterLines="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637"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6710" w:type="dxa"/>
            <w:gridSpan w:val="8"/>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司法局2022年中央政法纪检监察转移支付资金 转移支付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637"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3310" w:type="dxa"/>
            <w:gridSpan w:val="3"/>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米东区司法局机关</w:t>
            </w:r>
          </w:p>
        </w:tc>
        <w:tc>
          <w:tcPr>
            <w:tcW w:w="800"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实施单位</w:t>
            </w:r>
          </w:p>
        </w:tc>
        <w:tc>
          <w:tcPr>
            <w:tcW w:w="2600" w:type="dxa"/>
            <w:gridSpan w:val="4"/>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米东区司法局机关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637" w:type="dxa"/>
            <w:gridSpan w:val="2"/>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项目资金</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（万元）</w:t>
            </w:r>
          </w:p>
        </w:tc>
        <w:tc>
          <w:tcPr>
            <w:tcW w:w="909"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601"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年初预算数</w:t>
            </w:r>
          </w:p>
        </w:tc>
        <w:tc>
          <w:tcPr>
            <w:tcW w:w="800"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全年预算数</w:t>
            </w:r>
          </w:p>
        </w:tc>
        <w:tc>
          <w:tcPr>
            <w:tcW w:w="800"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全年执行数</w:t>
            </w:r>
          </w:p>
        </w:tc>
        <w:tc>
          <w:tcPr>
            <w:tcW w:w="840"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分值</w:t>
            </w:r>
          </w:p>
        </w:tc>
        <w:tc>
          <w:tcPr>
            <w:tcW w:w="733"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执行率</w:t>
            </w:r>
          </w:p>
        </w:tc>
        <w:tc>
          <w:tcPr>
            <w:tcW w:w="1027"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637"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09"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年度资金总额</w:t>
            </w:r>
          </w:p>
        </w:tc>
        <w:tc>
          <w:tcPr>
            <w:tcW w:w="1601"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800"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137.00</w:t>
            </w:r>
          </w:p>
        </w:tc>
        <w:tc>
          <w:tcPr>
            <w:tcW w:w="800"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84.58</w:t>
            </w:r>
          </w:p>
        </w:tc>
        <w:tc>
          <w:tcPr>
            <w:tcW w:w="840"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733"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61.74%</w:t>
            </w:r>
          </w:p>
        </w:tc>
        <w:tc>
          <w:tcPr>
            <w:tcW w:w="1027"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6.17分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637"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09"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其中：当年财政拨款</w:t>
            </w:r>
          </w:p>
        </w:tc>
        <w:tc>
          <w:tcPr>
            <w:tcW w:w="1601"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800"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137.00</w:t>
            </w:r>
          </w:p>
        </w:tc>
        <w:tc>
          <w:tcPr>
            <w:tcW w:w="800"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84.58</w:t>
            </w:r>
          </w:p>
        </w:tc>
        <w:tc>
          <w:tcPr>
            <w:tcW w:w="840"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733"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27"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637"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09"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上年结转资金</w:t>
            </w:r>
          </w:p>
        </w:tc>
        <w:tc>
          <w:tcPr>
            <w:tcW w:w="1601"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800"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800"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840"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733"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27"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637"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09"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601"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800"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800"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840"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733"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27"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826"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年度总体目标</w:t>
            </w:r>
          </w:p>
        </w:tc>
        <w:tc>
          <w:tcPr>
            <w:tcW w:w="4121" w:type="dxa"/>
            <w:gridSpan w:val="4"/>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预期目标</w:t>
            </w:r>
          </w:p>
        </w:tc>
        <w:tc>
          <w:tcPr>
            <w:tcW w:w="3400" w:type="dxa"/>
            <w:gridSpan w:val="5"/>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826"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4121"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中央政法纪检监察转移支付资金主要用于司法局机关及各司法所办案业务经费不足部分的补助，保障单位各项工作正常开展。</w:t>
            </w:r>
          </w:p>
        </w:tc>
        <w:tc>
          <w:tcPr>
            <w:tcW w:w="3400"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中央政法纪检监察转移支付资金主要用于司法局机关及各司法所办案业务经费不足部分的补助，保障单位各项工作正常开展。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826"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11"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909"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1601"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800"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年度指标值</w:t>
            </w:r>
          </w:p>
        </w:tc>
        <w:tc>
          <w:tcPr>
            <w:tcW w:w="800"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实际完成值</w:t>
            </w:r>
          </w:p>
        </w:tc>
        <w:tc>
          <w:tcPr>
            <w:tcW w:w="840"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分值</w:t>
            </w:r>
          </w:p>
        </w:tc>
        <w:tc>
          <w:tcPr>
            <w:tcW w:w="934" w:type="dxa"/>
            <w:gridSpan w:val="2"/>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826"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826"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81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09"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160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80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80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84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34"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826"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8" w:hRule="atLeast"/>
          <w:jc w:val="center"/>
        </w:trPr>
        <w:tc>
          <w:tcPr>
            <w:tcW w:w="826"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年度绩效指标完成情况</w:t>
            </w:r>
          </w:p>
        </w:tc>
        <w:tc>
          <w:tcPr>
            <w:tcW w:w="811"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909"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1601"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基层司法所调解纠纷</w:t>
            </w:r>
          </w:p>
        </w:tc>
        <w:tc>
          <w:tcPr>
            <w:tcW w:w="8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&gt;=1200件</w:t>
            </w:r>
          </w:p>
        </w:tc>
        <w:tc>
          <w:tcPr>
            <w:tcW w:w="8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1302件</w:t>
            </w:r>
          </w:p>
        </w:tc>
        <w:tc>
          <w:tcPr>
            <w:tcW w:w="84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34"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826"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826"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81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09"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1601"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开展普法宣传活动，举办培训活动</w:t>
            </w:r>
          </w:p>
        </w:tc>
        <w:tc>
          <w:tcPr>
            <w:tcW w:w="8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&gt;=90场次</w:t>
            </w:r>
          </w:p>
        </w:tc>
        <w:tc>
          <w:tcPr>
            <w:tcW w:w="8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98场次</w:t>
            </w:r>
          </w:p>
        </w:tc>
        <w:tc>
          <w:tcPr>
            <w:tcW w:w="84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934"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826"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826"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81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09"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1601"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指派法律援助案件，接待咨询法律援助案件</w:t>
            </w:r>
          </w:p>
        </w:tc>
        <w:tc>
          <w:tcPr>
            <w:tcW w:w="8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&gt;=20件</w:t>
            </w:r>
          </w:p>
        </w:tc>
        <w:tc>
          <w:tcPr>
            <w:tcW w:w="8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226件</w:t>
            </w:r>
          </w:p>
        </w:tc>
        <w:tc>
          <w:tcPr>
            <w:tcW w:w="84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934"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826"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826"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81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09"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1601"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社区矫正人员管控率</w:t>
            </w:r>
          </w:p>
        </w:tc>
        <w:tc>
          <w:tcPr>
            <w:tcW w:w="8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8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84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34"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826"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826"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81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09"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时效指标</w:t>
            </w:r>
          </w:p>
        </w:tc>
        <w:tc>
          <w:tcPr>
            <w:tcW w:w="1601"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项目完成时间</w:t>
            </w:r>
          </w:p>
        </w:tc>
        <w:tc>
          <w:tcPr>
            <w:tcW w:w="8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&lt;=12个月</w:t>
            </w:r>
          </w:p>
        </w:tc>
        <w:tc>
          <w:tcPr>
            <w:tcW w:w="8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12个月</w:t>
            </w:r>
          </w:p>
        </w:tc>
        <w:tc>
          <w:tcPr>
            <w:tcW w:w="84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934"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826"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826"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81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09"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成本指标</w:t>
            </w:r>
          </w:p>
        </w:tc>
        <w:tc>
          <w:tcPr>
            <w:tcW w:w="1601"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基层司法所调解纠纷成本</w:t>
            </w:r>
          </w:p>
        </w:tc>
        <w:tc>
          <w:tcPr>
            <w:tcW w:w="8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&lt;=70万元</w:t>
            </w:r>
          </w:p>
        </w:tc>
        <w:tc>
          <w:tcPr>
            <w:tcW w:w="8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57万元</w:t>
            </w:r>
          </w:p>
        </w:tc>
        <w:tc>
          <w:tcPr>
            <w:tcW w:w="84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934"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826"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826"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81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09"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成本指标</w:t>
            </w:r>
          </w:p>
        </w:tc>
        <w:tc>
          <w:tcPr>
            <w:tcW w:w="1601"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开展普法宣传活动，举办培训活动成本</w:t>
            </w:r>
          </w:p>
        </w:tc>
        <w:tc>
          <w:tcPr>
            <w:tcW w:w="8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&lt;=62万元</w:t>
            </w:r>
          </w:p>
        </w:tc>
        <w:tc>
          <w:tcPr>
            <w:tcW w:w="8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23.47万元</w:t>
            </w:r>
          </w:p>
        </w:tc>
        <w:tc>
          <w:tcPr>
            <w:tcW w:w="84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934"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826"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826"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81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09"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成本指标</w:t>
            </w:r>
          </w:p>
        </w:tc>
        <w:tc>
          <w:tcPr>
            <w:tcW w:w="1601"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指派法律援助案件，接待咨询法律援助案件成本</w:t>
            </w:r>
          </w:p>
        </w:tc>
        <w:tc>
          <w:tcPr>
            <w:tcW w:w="8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&lt;=5万元</w:t>
            </w:r>
          </w:p>
        </w:tc>
        <w:tc>
          <w:tcPr>
            <w:tcW w:w="8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4.1万元</w:t>
            </w:r>
          </w:p>
        </w:tc>
        <w:tc>
          <w:tcPr>
            <w:tcW w:w="84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934"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826"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826"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811"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909"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经济效益指标</w:t>
            </w:r>
          </w:p>
        </w:tc>
        <w:tc>
          <w:tcPr>
            <w:tcW w:w="1601"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4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934"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26"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826"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81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09"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1601"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开展法律援助工作，服务全区人民</w:t>
            </w:r>
          </w:p>
        </w:tc>
        <w:tc>
          <w:tcPr>
            <w:tcW w:w="8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有效开展</w:t>
            </w:r>
          </w:p>
        </w:tc>
        <w:tc>
          <w:tcPr>
            <w:tcW w:w="8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完全达到预计效果</w:t>
            </w:r>
          </w:p>
        </w:tc>
        <w:tc>
          <w:tcPr>
            <w:tcW w:w="84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934"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14.25</w:t>
            </w:r>
          </w:p>
        </w:tc>
        <w:tc>
          <w:tcPr>
            <w:tcW w:w="826"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826"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81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09"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生态效益指标</w:t>
            </w:r>
          </w:p>
        </w:tc>
        <w:tc>
          <w:tcPr>
            <w:tcW w:w="1601"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4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934"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26"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826"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81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09"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可持续影响指标</w:t>
            </w:r>
          </w:p>
        </w:tc>
        <w:tc>
          <w:tcPr>
            <w:tcW w:w="1601"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提高办案率</w:t>
            </w:r>
          </w:p>
        </w:tc>
        <w:tc>
          <w:tcPr>
            <w:tcW w:w="8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长期提高</w:t>
            </w:r>
          </w:p>
        </w:tc>
        <w:tc>
          <w:tcPr>
            <w:tcW w:w="8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完全达到预期效果</w:t>
            </w:r>
          </w:p>
        </w:tc>
        <w:tc>
          <w:tcPr>
            <w:tcW w:w="84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934"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14.25</w:t>
            </w:r>
          </w:p>
        </w:tc>
        <w:tc>
          <w:tcPr>
            <w:tcW w:w="826"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826"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811"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909"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1601"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群众满意度</w:t>
            </w:r>
          </w:p>
        </w:tc>
        <w:tc>
          <w:tcPr>
            <w:tcW w:w="8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&gt;=95%</w:t>
            </w:r>
          </w:p>
        </w:tc>
        <w:tc>
          <w:tcPr>
            <w:tcW w:w="8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84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34"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826"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5747" w:type="dxa"/>
            <w:gridSpan w:val="6"/>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840"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934"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94.67分</w:t>
            </w:r>
          </w:p>
        </w:tc>
        <w:tc>
          <w:tcPr>
            <w:tcW w:w="826"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bl>
    <w:p>
      <w:pPr>
        <w:spacing w:beforeLines="0" w:afterLines="0"/>
        <w:rPr>
          <w:rFonts w:hint="eastAsia"/>
          <w:sz w:val="21"/>
          <w:szCs w:val="22"/>
        </w:rPr>
      </w:pPr>
    </w:p>
    <w:tbl>
      <w:tblPr>
        <w:tblStyle w:val="4"/>
        <w:tblW w:w="4862"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5"/>
        <w:gridCol w:w="790"/>
        <w:gridCol w:w="935"/>
        <w:gridCol w:w="1560"/>
        <w:gridCol w:w="846"/>
        <w:gridCol w:w="803"/>
        <w:gridCol w:w="60"/>
        <w:gridCol w:w="813"/>
        <w:gridCol w:w="998"/>
        <w:gridCol w:w="9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287" w:type="dxa"/>
            <w:gridSpan w:val="10"/>
            <w:tcBorders>
              <w:top w:val="nil"/>
              <w:left w:val="nil"/>
              <w:bottom w:val="nil"/>
              <w:right w:val="nil"/>
              <w:tl2br w:val="nil"/>
              <w:tr2bl w:val="nil"/>
            </w:tcBorders>
            <w:noWrap w:val="0"/>
            <w:vAlign w:val="center"/>
          </w:tcPr>
          <w:p>
            <w:pPr>
              <w:widowControl/>
              <w:spacing w:beforeLines="0" w:afterLines="0"/>
              <w:jc w:val="center"/>
              <w:rPr>
                <w:rFonts w:hint="eastAsia" w:ascii="宋体" w:hAnsi="宋体" w:eastAsia="宋体" w:cs="宋体"/>
                <w:b/>
                <w:color w:val="000000"/>
                <w:kern w:val="0"/>
                <w:sz w:val="32"/>
                <w:szCs w:val="32"/>
              </w:rPr>
            </w:pPr>
            <w:r>
              <w:rPr>
                <w:rFonts w:hint="eastAsia" w:ascii="宋体" w:hAnsi="宋体" w:eastAsia="宋体" w:cs="宋体"/>
                <w:b/>
                <w:color w:val="000000"/>
                <w:kern w:val="0"/>
                <w:sz w:val="32"/>
                <w:szCs w:val="32"/>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8287" w:type="dxa"/>
            <w:gridSpan w:val="10"/>
            <w:tcBorders>
              <w:top w:val="nil"/>
              <w:left w:val="nil"/>
              <w:bottom w:val="single" w:color="auto" w:sz="4" w:space="0"/>
              <w:right w:val="nil"/>
              <w:tl2br w:val="nil"/>
              <w:tr2bl w:val="nil"/>
            </w:tcBorders>
            <w:noWrap w:val="0"/>
            <w:vAlign w:val="center"/>
          </w:tcPr>
          <w:p>
            <w:pPr>
              <w:widowControl/>
              <w:spacing w:beforeLines="0" w:afterLines="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544"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6743" w:type="dxa"/>
            <w:gridSpan w:val="8"/>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2021年案件代理费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544"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3215" w:type="dxa"/>
            <w:gridSpan w:val="3"/>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米东区司法局机关</w:t>
            </w:r>
          </w:p>
        </w:tc>
        <w:tc>
          <w:tcPr>
            <w:tcW w:w="773"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实施单位</w:t>
            </w:r>
          </w:p>
        </w:tc>
        <w:tc>
          <w:tcPr>
            <w:tcW w:w="2755" w:type="dxa"/>
            <w:gridSpan w:val="4"/>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米东区司法局机关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544" w:type="dxa"/>
            <w:gridSpan w:val="2"/>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项目资金</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（万元）</w:t>
            </w:r>
          </w:p>
        </w:tc>
        <w:tc>
          <w:tcPr>
            <w:tcW w:w="900"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501"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年初预算数</w:t>
            </w:r>
          </w:p>
        </w:tc>
        <w:tc>
          <w:tcPr>
            <w:tcW w:w="814"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全年预算数</w:t>
            </w:r>
          </w:p>
        </w:tc>
        <w:tc>
          <w:tcPr>
            <w:tcW w:w="773"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全年执行数</w:t>
            </w:r>
          </w:p>
        </w:tc>
        <w:tc>
          <w:tcPr>
            <w:tcW w:w="840"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分值</w:t>
            </w:r>
          </w:p>
        </w:tc>
        <w:tc>
          <w:tcPr>
            <w:tcW w:w="960"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执行率</w:t>
            </w:r>
          </w:p>
        </w:tc>
        <w:tc>
          <w:tcPr>
            <w:tcW w:w="955"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544"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00"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年度资金总额</w:t>
            </w:r>
          </w:p>
        </w:tc>
        <w:tc>
          <w:tcPr>
            <w:tcW w:w="1501"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814"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20.00</w:t>
            </w:r>
          </w:p>
        </w:tc>
        <w:tc>
          <w:tcPr>
            <w:tcW w:w="773"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20.00</w:t>
            </w:r>
          </w:p>
        </w:tc>
        <w:tc>
          <w:tcPr>
            <w:tcW w:w="840"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60"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955"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544"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00"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其中：当年财政拨款</w:t>
            </w:r>
          </w:p>
        </w:tc>
        <w:tc>
          <w:tcPr>
            <w:tcW w:w="1501"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814"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20.00</w:t>
            </w:r>
          </w:p>
        </w:tc>
        <w:tc>
          <w:tcPr>
            <w:tcW w:w="773"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20.00</w:t>
            </w:r>
          </w:p>
        </w:tc>
        <w:tc>
          <w:tcPr>
            <w:tcW w:w="840"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960"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955"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544"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00"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上年结转资金</w:t>
            </w:r>
          </w:p>
        </w:tc>
        <w:tc>
          <w:tcPr>
            <w:tcW w:w="1501"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814"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773"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840"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960"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955"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544"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00"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501"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814"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773"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840"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960"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955"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784"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年度总体目标</w:t>
            </w:r>
          </w:p>
        </w:tc>
        <w:tc>
          <w:tcPr>
            <w:tcW w:w="3975" w:type="dxa"/>
            <w:gridSpan w:val="4"/>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预期目标</w:t>
            </w:r>
          </w:p>
        </w:tc>
        <w:tc>
          <w:tcPr>
            <w:tcW w:w="3528" w:type="dxa"/>
            <w:gridSpan w:val="5"/>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784"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3975"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对政府涉及的案件委托律师事务所代理，减少政府经济损失。</w:t>
            </w:r>
          </w:p>
        </w:tc>
        <w:tc>
          <w:tcPr>
            <w:tcW w:w="3528"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对政府涉及的案件委托律师事务所代理，减少政府经济损失。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784"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60"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900"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1501"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814"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年度指标值</w:t>
            </w:r>
          </w:p>
        </w:tc>
        <w:tc>
          <w:tcPr>
            <w:tcW w:w="831" w:type="dxa"/>
            <w:gridSpan w:val="2"/>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实际完成值</w:t>
            </w:r>
          </w:p>
        </w:tc>
        <w:tc>
          <w:tcPr>
            <w:tcW w:w="782"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分值</w:t>
            </w:r>
          </w:p>
        </w:tc>
        <w:tc>
          <w:tcPr>
            <w:tcW w:w="960"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955"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784"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76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0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150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814"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831"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782"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6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5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784"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年度绩效指标完成情况</w:t>
            </w:r>
          </w:p>
        </w:tc>
        <w:tc>
          <w:tcPr>
            <w:tcW w:w="760"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9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1501"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案件数量</w:t>
            </w:r>
          </w:p>
        </w:tc>
        <w:tc>
          <w:tcPr>
            <w:tcW w:w="81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=1件</w:t>
            </w:r>
          </w:p>
        </w:tc>
        <w:tc>
          <w:tcPr>
            <w:tcW w:w="831"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1件</w:t>
            </w:r>
          </w:p>
        </w:tc>
        <w:tc>
          <w:tcPr>
            <w:tcW w:w="782"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6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5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784"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76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1501"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案件代理质量达标率</w:t>
            </w:r>
          </w:p>
        </w:tc>
        <w:tc>
          <w:tcPr>
            <w:tcW w:w="81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831"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782"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6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5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784"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76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1501"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案款结案率</w:t>
            </w:r>
          </w:p>
        </w:tc>
        <w:tc>
          <w:tcPr>
            <w:tcW w:w="81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831"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782"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6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5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784"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76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时效指标</w:t>
            </w:r>
          </w:p>
        </w:tc>
        <w:tc>
          <w:tcPr>
            <w:tcW w:w="1501"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代理费支付时效</w:t>
            </w:r>
          </w:p>
        </w:tc>
        <w:tc>
          <w:tcPr>
            <w:tcW w:w="81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&lt;=12个月</w:t>
            </w:r>
          </w:p>
        </w:tc>
        <w:tc>
          <w:tcPr>
            <w:tcW w:w="831"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12个月</w:t>
            </w:r>
          </w:p>
        </w:tc>
        <w:tc>
          <w:tcPr>
            <w:tcW w:w="782"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6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5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784"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76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成本指标</w:t>
            </w:r>
          </w:p>
        </w:tc>
        <w:tc>
          <w:tcPr>
            <w:tcW w:w="1501"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资金使用率</w:t>
            </w:r>
          </w:p>
        </w:tc>
        <w:tc>
          <w:tcPr>
            <w:tcW w:w="81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831"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782"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6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5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784"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76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成本指标</w:t>
            </w:r>
          </w:p>
        </w:tc>
        <w:tc>
          <w:tcPr>
            <w:tcW w:w="1501"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案件代理费成本</w:t>
            </w:r>
          </w:p>
        </w:tc>
        <w:tc>
          <w:tcPr>
            <w:tcW w:w="81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&lt;=19万元</w:t>
            </w:r>
          </w:p>
        </w:tc>
        <w:tc>
          <w:tcPr>
            <w:tcW w:w="831"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19万元</w:t>
            </w:r>
          </w:p>
        </w:tc>
        <w:tc>
          <w:tcPr>
            <w:tcW w:w="782"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96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95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784"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76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成本指标</w:t>
            </w:r>
          </w:p>
        </w:tc>
        <w:tc>
          <w:tcPr>
            <w:tcW w:w="1501"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其他成本</w:t>
            </w:r>
          </w:p>
        </w:tc>
        <w:tc>
          <w:tcPr>
            <w:tcW w:w="81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&lt;=1万元</w:t>
            </w:r>
          </w:p>
        </w:tc>
        <w:tc>
          <w:tcPr>
            <w:tcW w:w="831"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1万元</w:t>
            </w:r>
          </w:p>
        </w:tc>
        <w:tc>
          <w:tcPr>
            <w:tcW w:w="782"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96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95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784"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760"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9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经济效益指标</w:t>
            </w:r>
          </w:p>
        </w:tc>
        <w:tc>
          <w:tcPr>
            <w:tcW w:w="1501"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1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31"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82"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96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95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784"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76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1501"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提高公众对政府的信任</w:t>
            </w:r>
          </w:p>
        </w:tc>
        <w:tc>
          <w:tcPr>
            <w:tcW w:w="81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有效提高</w:t>
            </w:r>
          </w:p>
        </w:tc>
        <w:tc>
          <w:tcPr>
            <w:tcW w:w="831"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有效提高</w:t>
            </w:r>
          </w:p>
        </w:tc>
        <w:tc>
          <w:tcPr>
            <w:tcW w:w="782"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6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5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784"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76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生态效益指标</w:t>
            </w:r>
          </w:p>
        </w:tc>
        <w:tc>
          <w:tcPr>
            <w:tcW w:w="1501"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1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31"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82"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96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95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784"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76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可持续影响指标</w:t>
            </w:r>
          </w:p>
        </w:tc>
        <w:tc>
          <w:tcPr>
            <w:tcW w:w="1501"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减少案件对工作造成的影响</w:t>
            </w:r>
          </w:p>
        </w:tc>
        <w:tc>
          <w:tcPr>
            <w:tcW w:w="81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持续减少</w:t>
            </w:r>
          </w:p>
        </w:tc>
        <w:tc>
          <w:tcPr>
            <w:tcW w:w="831"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持续减少</w:t>
            </w:r>
          </w:p>
        </w:tc>
        <w:tc>
          <w:tcPr>
            <w:tcW w:w="782"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6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5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784"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76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9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1501"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群众满意度</w:t>
            </w:r>
          </w:p>
        </w:tc>
        <w:tc>
          <w:tcPr>
            <w:tcW w:w="81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&gt;=90%</w:t>
            </w:r>
          </w:p>
        </w:tc>
        <w:tc>
          <w:tcPr>
            <w:tcW w:w="831"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95%</w:t>
            </w:r>
          </w:p>
        </w:tc>
        <w:tc>
          <w:tcPr>
            <w:tcW w:w="782"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6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5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5590" w:type="dxa"/>
            <w:gridSpan w:val="7"/>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782"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960"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100.00分</w:t>
            </w:r>
          </w:p>
        </w:tc>
        <w:tc>
          <w:tcPr>
            <w:tcW w:w="955"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bl>
    <w:p>
      <w:pPr>
        <w:shd w:val="clear" w:color="auto" w:fill="FFFFFF"/>
        <w:autoSpaceDE w:val="0"/>
        <w:autoSpaceDN w:val="0"/>
        <w:adjustRightInd w:val="0"/>
        <w:spacing w:before="100" w:beforeLines="0" w:afterLines="0" w:line="520" w:lineRule="exact"/>
        <w:rPr>
          <w:rFonts w:hint="default" w:ascii="Times New Roman" w:hAnsi="Times New Roman" w:eastAsia="仿宋_GB2312"/>
          <w:kern w:val="0"/>
          <w:sz w:val="24"/>
          <w:szCs w:val="24"/>
          <w:highlight w:val="white"/>
        </w:rPr>
      </w:pPr>
    </w:p>
    <w:p>
      <w:pPr>
        <w:shd w:val="clear" w:color="auto" w:fill="FFFFFF"/>
        <w:autoSpaceDE w:val="0"/>
        <w:autoSpaceDN w:val="0"/>
        <w:adjustRightInd w:val="0"/>
        <w:spacing w:before="100" w:beforeLines="0" w:after="240" w:afterLines="0"/>
        <w:jc w:val="center"/>
        <w:rPr>
          <w:rFonts w:hint="default" w:ascii="Times New Roman" w:hAnsi="Times New Roman" w:eastAsia="黑体"/>
          <w:b/>
          <w:kern w:val="0"/>
          <w:sz w:val="28"/>
          <w:szCs w:val="28"/>
        </w:rPr>
      </w:pPr>
      <w:r>
        <w:rPr>
          <w:rFonts w:hint="eastAsia" w:ascii="黑体" w:hAnsi="Times New Roman" w:eastAsia="黑体" w:cs="黑体"/>
          <w:kern w:val="0"/>
          <w:sz w:val="32"/>
          <w:szCs w:val="32"/>
        </w:rPr>
        <w:t>第三部分 专业名词解释</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财政拨款收入：指同级财政当年拨付的资金。</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上级补助收入：指事业单位从主管部门和上级单位取得的非财政补助收入。</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事业收入：指事业单位开展专业业务活动及其辅助活动所取得的收入。</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经营收入：指事业单位在专业业务活动及其辅助活动之外开展非独立核算经营活动取得的收入。</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附属单位上缴收入：指事业单位附属的独立核算单位按有关规定上缴的收入。</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其他收入：指除上述</w:t>
      </w:r>
      <w:r>
        <w:rPr>
          <w:rFonts w:hint="default" w:ascii="Times New Roman" w:hAnsi="Times New Roman" w:eastAsia="仿宋_GB2312" w:cs="仿宋_GB2312"/>
          <w:kern w:val="0"/>
          <w:sz w:val="32"/>
          <w:szCs w:val="32"/>
        </w:rPr>
        <w:t>“</w:t>
      </w:r>
      <w:r>
        <w:rPr>
          <w:rFonts w:hint="eastAsia" w:ascii="仿宋_GB2312" w:hAnsi="Times New Roman" w:eastAsia="仿宋_GB2312" w:cs="仿宋_GB2312"/>
          <w:kern w:val="0"/>
          <w:sz w:val="32"/>
          <w:szCs w:val="32"/>
        </w:rPr>
        <w:t>财政拨款收入</w:t>
      </w:r>
      <w:r>
        <w:rPr>
          <w:rFonts w:hint="default" w:ascii="Times New Roman" w:hAnsi="Times New Roman" w:eastAsia="仿宋_GB2312" w:cs="仿宋_GB2312"/>
          <w:kern w:val="0"/>
          <w:sz w:val="32"/>
          <w:szCs w:val="32"/>
        </w:rPr>
        <w:t>”</w:t>
      </w:r>
      <w:r>
        <w:rPr>
          <w:rFonts w:hint="eastAsia" w:ascii="仿宋_GB2312" w:hAnsi="Times New Roman" w:eastAsia="仿宋_GB2312" w:cs="仿宋_GB2312"/>
          <w:kern w:val="0"/>
          <w:sz w:val="32"/>
          <w:szCs w:val="32"/>
        </w:rPr>
        <w:t>、</w:t>
      </w:r>
      <w:r>
        <w:rPr>
          <w:rFonts w:hint="default" w:ascii="Times New Roman" w:hAnsi="Times New Roman" w:eastAsia="仿宋_GB2312" w:cs="仿宋_GB2312"/>
          <w:kern w:val="0"/>
          <w:sz w:val="32"/>
          <w:szCs w:val="32"/>
        </w:rPr>
        <w:t>“</w:t>
      </w:r>
      <w:r>
        <w:rPr>
          <w:rFonts w:hint="eastAsia" w:ascii="仿宋_GB2312" w:hAnsi="Times New Roman" w:eastAsia="仿宋_GB2312" w:cs="仿宋_GB2312"/>
          <w:kern w:val="0"/>
          <w:sz w:val="32"/>
          <w:szCs w:val="32"/>
        </w:rPr>
        <w:t>事业收入</w:t>
      </w:r>
      <w:r>
        <w:rPr>
          <w:rFonts w:hint="default" w:ascii="Times New Roman" w:hAnsi="Times New Roman" w:eastAsia="仿宋_GB2312" w:cs="仿宋_GB2312"/>
          <w:kern w:val="0"/>
          <w:sz w:val="32"/>
          <w:szCs w:val="32"/>
        </w:rPr>
        <w:t>”</w:t>
      </w:r>
      <w:r>
        <w:rPr>
          <w:rFonts w:hint="eastAsia" w:ascii="仿宋_GB2312" w:hAnsi="Times New Roman" w:eastAsia="仿宋_GB2312" w:cs="仿宋_GB2312"/>
          <w:kern w:val="0"/>
          <w:sz w:val="32"/>
          <w:szCs w:val="32"/>
        </w:rPr>
        <w:t>、</w:t>
      </w:r>
      <w:r>
        <w:rPr>
          <w:rFonts w:hint="default" w:ascii="Times New Roman" w:hAnsi="Times New Roman" w:eastAsia="仿宋_GB2312" w:cs="仿宋_GB2312"/>
          <w:kern w:val="0"/>
          <w:sz w:val="32"/>
          <w:szCs w:val="32"/>
        </w:rPr>
        <w:t>“</w:t>
      </w:r>
      <w:r>
        <w:rPr>
          <w:rFonts w:hint="eastAsia" w:ascii="仿宋_GB2312" w:hAnsi="Times New Roman" w:eastAsia="仿宋_GB2312" w:cs="仿宋_GB2312"/>
          <w:kern w:val="0"/>
          <w:sz w:val="32"/>
          <w:szCs w:val="32"/>
        </w:rPr>
        <w:t>经营收入</w:t>
      </w:r>
      <w:r>
        <w:rPr>
          <w:rFonts w:hint="default" w:ascii="Times New Roman" w:hAnsi="Times New Roman" w:eastAsia="仿宋_GB2312" w:cs="仿宋_GB2312"/>
          <w:kern w:val="0"/>
          <w:sz w:val="32"/>
          <w:szCs w:val="32"/>
        </w:rPr>
        <w:t>”</w:t>
      </w:r>
      <w:r>
        <w:rPr>
          <w:rFonts w:hint="eastAsia" w:ascii="仿宋_GB2312" w:hAnsi="Times New Roman" w:eastAsia="仿宋_GB2312" w:cs="仿宋_GB2312"/>
          <w:kern w:val="0"/>
          <w:sz w:val="32"/>
          <w:szCs w:val="32"/>
        </w:rPr>
        <w:t>、</w:t>
      </w:r>
      <w:r>
        <w:rPr>
          <w:rFonts w:hint="default" w:ascii="Times New Roman" w:hAnsi="Times New Roman" w:eastAsia="仿宋_GB2312" w:cs="仿宋_GB2312"/>
          <w:kern w:val="0"/>
          <w:sz w:val="32"/>
          <w:szCs w:val="32"/>
        </w:rPr>
        <w:t>“</w:t>
      </w:r>
      <w:r>
        <w:rPr>
          <w:rFonts w:hint="eastAsia" w:ascii="仿宋_GB2312" w:hAnsi="Times New Roman" w:eastAsia="仿宋_GB2312" w:cs="仿宋_GB2312"/>
          <w:kern w:val="0"/>
          <w:sz w:val="32"/>
          <w:szCs w:val="32"/>
        </w:rPr>
        <w:t>附属单位上缴收入</w:t>
      </w:r>
      <w:r>
        <w:rPr>
          <w:rFonts w:hint="default" w:ascii="Times New Roman" w:hAnsi="Times New Roman" w:eastAsia="仿宋_GB2312" w:cs="仿宋_GB2312"/>
          <w:kern w:val="0"/>
          <w:sz w:val="32"/>
          <w:szCs w:val="32"/>
        </w:rPr>
        <w:t>”</w:t>
      </w:r>
      <w:r>
        <w:rPr>
          <w:rFonts w:hint="eastAsia" w:ascii="仿宋_GB2312" w:hAnsi="Times New Roman" w:eastAsia="仿宋_GB2312" w:cs="仿宋_GB2312"/>
          <w:kern w:val="0"/>
          <w:sz w:val="32"/>
          <w:szCs w:val="32"/>
        </w:rPr>
        <w:t>等之外取得的收入。</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基本支出：指为保障机构正常运转、完成日常工作任务而发生的人员支出和公用支出。</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项目支出：指在基本支出之外为完成特定行政任务和事业发展目标所发生的支出。</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经营支出：指事业单位在专业业务活动及其辅助活动之外开展非独立核算经营活动发生的支出。</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对附属单位补助支出：指事业单位发生的用非财政预算资金对附属单位的补助支出。</w:t>
      </w:r>
    </w:p>
    <w:p>
      <w:pPr>
        <w:autoSpaceDE w:val="0"/>
        <w:autoSpaceDN w:val="0"/>
        <w:adjustRightInd w:val="0"/>
        <w:spacing w:beforeLines="0" w:afterLines="0" w:line="360" w:lineRule="auto"/>
        <w:ind w:firstLine="640"/>
        <w:rPr>
          <w:rFonts w:hint="default" w:ascii="Times New Roman" w:hAnsi="Times New Roman" w:eastAsia="仿宋_GB2312"/>
          <w:sz w:val="32"/>
          <w:szCs w:val="32"/>
        </w:rPr>
      </w:pPr>
      <w:r>
        <w:rPr>
          <w:rFonts w:hint="default" w:ascii="Times New Roman" w:hAnsi="Times New Roman" w:eastAsia="仿宋_GB2312" w:cs="仿宋_GB2312"/>
          <w:sz w:val="32"/>
          <w:szCs w:val="32"/>
        </w:rPr>
        <w:t>“</w:t>
      </w:r>
      <w:r>
        <w:rPr>
          <w:rFonts w:hint="eastAsia" w:ascii="仿宋_GB2312" w:hAnsi="Times New Roman" w:eastAsia="仿宋_GB2312" w:cs="仿宋_GB2312"/>
          <w:sz w:val="32"/>
          <w:szCs w:val="32"/>
        </w:rPr>
        <w:t>三公</w:t>
      </w:r>
      <w:r>
        <w:rPr>
          <w:rFonts w:hint="default" w:ascii="Times New Roman" w:hAnsi="Times New Roman" w:eastAsia="仿宋_GB2312" w:cs="仿宋_GB2312"/>
          <w:sz w:val="32"/>
          <w:szCs w:val="32"/>
        </w:rPr>
        <w:t>”</w:t>
      </w:r>
      <w:r>
        <w:rPr>
          <w:rFonts w:hint="eastAsia" w:ascii="仿宋_GB2312" w:hAnsi="Times New Roman" w:eastAsia="仿宋_GB2312" w:cs="仿宋_GB2312"/>
          <w:sz w:val="32"/>
          <w:szCs w:val="32"/>
        </w:rPr>
        <w:t>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autoSpaceDE w:val="0"/>
        <w:autoSpaceDN w:val="0"/>
        <w:adjustRightInd w:val="0"/>
        <w:spacing w:beforeLines="0" w:afterLines="0" w:line="360" w:lineRule="auto"/>
        <w:ind w:firstLine="640"/>
        <w:rPr>
          <w:rFonts w:hint="default" w:ascii="Times New Roman" w:hAnsi="Times New Roman" w:eastAsia="仿宋_GB2312"/>
          <w:sz w:val="32"/>
          <w:szCs w:val="32"/>
        </w:rPr>
      </w:pPr>
      <w:r>
        <w:rPr>
          <w:rFonts w:hint="eastAsia" w:ascii="仿宋_GB2312" w:hAnsi="Times New Roman" w:eastAsia="仿宋_GB2312" w:cs="仿宋_GB2312"/>
          <w:sz w:val="32"/>
          <w:szCs w:val="32"/>
        </w:rPr>
        <w:t>机关运行经费：行政单位和参照公务员法管理的事业单位财政拨款基本支出中的公用经费支出。</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rPr>
      </w:pPr>
    </w:p>
    <w:p>
      <w:pPr>
        <w:shd w:val="clear" w:color="auto" w:fill="FFFFFF"/>
        <w:autoSpaceDE w:val="0"/>
        <w:autoSpaceDN w:val="0"/>
        <w:adjustRightInd w:val="0"/>
        <w:spacing w:before="100" w:beforeLines="0" w:afterLines="0" w:line="520" w:lineRule="exact"/>
        <w:rPr>
          <w:rFonts w:hint="default" w:ascii="Times New Roman" w:hAnsi="Times New Roman" w:eastAsia="仿宋_GB2312"/>
          <w:kern w:val="0"/>
          <w:sz w:val="24"/>
          <w:szCs w:val="24"/>
        </w:rPr>
      </w:pPr>
    </w:p>
    <w:p>
      <w:pPr>
        <w:shd w:val="clear" w:color="auto" w:fill="FFFFFF"/>
        <w:autoSpaceDE w:val="0"/>
        <w:autoSpaceDN w:val="0"/>
        <w:adjustRightInd w:val="0"/>
        <w:spacing w:before="100" w:beforeLines="0" w:after="240" w:afterLines="0"/>
        <w:jc w:val="center"/>
        <w:rPr>
          <w:rFonts w:hint="default" w:ascii="Times New Roman" w:hAnsi="Times New Roman" w:eastAsia="黑体"/>
          <w:kern w:val="0"/>
          <w:sz w:val="32"/>
          <w:szCs w:val="32"/>
        </w:rPr>
      </w:pPr>
      <w:r>
        <w:rPr>
          <w:rFonts w:hint="eastAsia" w:ascii="黑体" w:hAnsi="Times New Roman" w:eastAsia="黑体" w:cs="黑体"/>
          <w:kern w:val="0"/>
          <w:sz w:val="32"/>
          <w:szCs w:val="32"/>
        </w:rPr>
        <w:t>第四部分 部门决算报表（见附表）</w:t>
      </w:r>
    </w:p>
    <w:p>
      <w:pPr>
        <w:autoSpaceDE w:val="0"/>
        <w:autoSpaceDN w:val="0"/>
        <w:adjustRightInd w:val="0"/>
        <w:spacing w:beforeLines="0" w:afterLines="0" w:line="540" w:lineRule="exact"/>
        <w:ind w:firstLine="640"/>
        <w:rPr>
          <w:rFonts w:hint="default" w:ascii="Times New Roman" w:hAnsi="Times New Roman" w:eastAsia="黑体"/>
          <w:sz w:val="32"/>
          <w:szCs w:val="32"/>
        </w:rPr>
      </w:pPr>
      <w:r>
        <w:rPr>
          <w:rFonts w:hint="eastAsia" w:ascii="黑体" w:hAnsi="Times New Roman" w:eastAsia="黑体" w:cs="黑体"/>
          <w:sz w:val="32"/>
          <w:szCs w:val="32"/>
        </w:rPr>
        <w:t>一、《收入支出决算总表》</w:t>
      </w:r>
    </w:p>
    <w:p>
      <w:pPr>
        <w:autoSpaceDE w:val="0"/>
        <w:autoSpaceDN w:val="0"/>
        <w:adjustRightInd w:val="0"/>
        <w:spacing w:beforeLines="0" w:afterLines="0" w:line="540" w:lineRule="exact"/>
        <w:ind w:firstLine="640"/>
        <w:rPr>
          <w:rFonts w:hint="default" w:ascii="Times New Roman" w:hAnsi="Times New Roman" w:eastAsia="黑体"/>
          <w:sz w:val="32"/>
          <w:szCs w:val="32"/>
        </w:rPr>
      </w:pPr>
      <w:r>
        <w:rPr>
          <w:rFonts w:hint="eastAsia" w:ascii="黑体" w:hAnsi="Times New Roman" w:eastAsia="黑体" w:cs="黑体"/>
          <w:sz w:val="32"/>
          <w:szCs w:val="32"/>
        </w:rPr>
        <w:t>二、《收入决算表》</w:t>
      </w:r>
    </w:p>
    <w:p>
      <w:pPr>
        <w:autoSpaceDE w:val="0"/>
        <w:autoSpaceDN w:val="0"/>
        <w:adjustRightInd w:val="0"/>
        <w:spacing w:beforeLines="0" w:afterLines="0" w:line="540" w:lineRule="exact"/>
        <w:ind w:firstLine="640"/>
        <w:rPr>
          <w:rFonts w:hint="default" w:ascii="Times New Roman" w:hAnsi="Times New Roman" w:eastAsia="黑体"/>
          <w:sz w:val="32"/>
          <w:szCs w:val="32"/>
        </w:rPr>
      </w:pPr>
      <w:r>
        <w:rPr>
          <w:rFonts w:hint="eastAsia" w:ascii="黑体" w:hAnsi="Times New Roman" w:eastAsia="黑体" w:cs="黑体"/>
          <w:sz w:val="32"/>
          <w:szCs w:val="32"/>
        </w:rPr>
        <w:t>三、《支出决算表》</w:t>
      </w:r>
    </w:p>
    <w:p>
      <w:pPr>
        <w:autoSpaceDE w:val="0"/>
        <w:autoSpaceDN w:val="0"/>
        <w:adjustRightInd w:val="0"/>
        <w:spacing w:beforeLines="0" w:afterLines="0" w:line="540" w:lineRule="exact"/>
        <w:ind w:firstLine="640"/>
        <w:rPr>
          <w:rFonts w:hint="default" w:ascii="Times New Roman" w:hAnsi="Times New Roman" w:eastAsia="黑体"/>
          <w:sz w:val="32"/>
          <w:szCs w:val="32"/>
        </w:rPr>
      </w:pPr>
      <w:r>
        <w:rPr>
          <w:rFonts w:hint="eastAsia" w:ascii="黑体" w:hAnsi="Times New Roman" w:eastAsia="黑体" w:cs="黑体"/>
          <w:sz w:val="32"/>
          <w:szCs w:val="32"/>
        </w:rPr>
        <w:t>四、《财政拨款收入支出决算总表》</w:t>
      </w:r>
    </w:p>
    <w:p>
      <w:pPr>
        <w:autoSpaceDE w:val="0"/>
        <w:autoSpaceDN w:val="0"/>
        <w:adjustRightInd w:val="0"/>
        <w:spacing w:beforeLines="0" w:afterLines="0" w:line="540" w:lineRule="exact"/>
        <w:ind w:firstLine="640"/>
        <w:rPr>
          <w:rFonts w:hint="default" w:ascii="Times New Roman" w:hAnsi="Times New Roman" w:eastAsia="黑体"/>
          <w:sz w:val="32"/>
          <w:szCs w:val="32"/>
        </w:rPr>
      </w:pPr>
      <w:r>
        <w:rPr>
          <w:rFonts w:hint="eastAsia" w:ascii="黑体" w:hAnsi="Times New Roman" w:eastAsia="黑体" w:cs="黑体"/>
          <w:sz w:val="32"/>
          <w:szCs w:val="32"/>
        </w:rPr>
        <w:t>五、《一般公共预算财政拨款支出决算表》</w:t>
      </w:r>
    </w:p>
    <w:p>
      <w:pPr>
        <w:autoSpaceDE w:val="0"/>
        <w:autoSpaceDN w:val="0"/>
        <w:adjustRightInd w:val="0"/>
        <w:spacing w:beforeLines="0" w:afterLines="0" w:line="540" w:lineRule="exact"/>
        <w:ind w:firstLine="640"/>
        <w:rPr>
          <w:rFonts w:hint="default" w:ascii="Times New Roman" w:hAnsi="Times New Roman" w:eastAsia="黑体"/>
          <w:sz w:val="32"/>
          <w:szCs w:val="32"/>
        </w:rPr>
      </w:pPr>
      <w:r>
        <w:rPr>
          <w:rFonts w:hint="eastAsia" w:ascii="黑体" w:hAnsi="Times New Roman" w:eastAsia="黑体" w:cs="黑体"/>
          <w:sz w:val="32"/>
          <w:szCs w:val="32"/>
        </w:rPr>
        <w:t>六、《一般公共预算财政拨款基本支出决算表》</w:t>
      </w:r>
    </w:p>
    <w:p>
      <w:pPr>
        <w:autoSpaceDE w:val="0"/>
        <w:autoSpaceDN w:val="0"/>
        <w:adjustRightInd w:val="0"/>
        <w:spacing w:beforeLines="0" w:afterLines="0" w:line="540" w:lineRule="exact"/>
        <w:ind w:firstLine="640"/>
        <w:rPr>
          <w:rFonts w:hint="default" w:ascii="Times New Roman" w:hAnsi="Times New Roman" w:eastAsia="黑体"/>
          <w:sz w:val="32"/>
          <w:szCs w:val="32"/>
        </w:rPr>
      </w:pPr>
      <w:r>
        <w:rPr>
          <w:rFonts w:hint="eastAsia" w:ascii="黑体" w:hAnsi="Times New Roman" w:eastAsia="黑体" w:cs="黑体"/>
          <w:sz w:val="32"/>
          <w:szCs w:val="32"/>
        </w:rPr>
        <w:t>七、《财政拨款</w:t>
      </w:r>
      <w:r>
        <w:rPr>
          <w:rFonts w:hint="default" w:ascii="Times New Roman" w:hAnsi="Times New Roman" w:eastAsia="黑体" w:cs="黑体"/>
          <w:sz w:val="32"/>
          <w:szCs w:val="32"/>
        </w:rPr>
        <w:t>“</w:t>
      </w:r>
      <w:r>
        <w:rPr>
          <w:rFonts w:hint="eastAsia" w:ascii="黑体" w:hAnsi="Times New Roman" w:eastAsia="黑体" w:cs="黑体"/>
          <w:sz w:val="32"/>
          <w:szCs w:val="32"/>
        </w:rPr>
        <w:t>三公</w:t>
      </w:r>
      <w:r>
        <w:rPr>
          <w:rFonts w:hint="default" w:ascii="Times New Roman" w:hAnsi="Times New Roman" w:eastAsia="黑体" w:cs="黑体"/>
          <w:sz w:val="32"/>
          <w:szCs w:val="32"/>
        </w:rPr>
        <w:t>”</w:t>
      </w:r>
      <w:r>
        <w:rPr>
          <w:rFonts w:hint="eastAsia" w:ascii="黑体" w:hAnsi="Times New Roman" w:eastAsia="黑体" w:cs="黑体"/>
          <w:sz w:val="32"/>
          <w:szCs w:val="32"/>
        </w:rPr>
        <w:t>经费支出决算表》</w:t>
      </w:r>
    </w:p>
    <w:p>
      <w:pPr>
        <w:autoSpaceDE w:val="0"/>
        <w:autoSpaceDN w:val="0"/>
        <w:adjustRightInd w:val="0"/>
        <w:spacing w:beforeLines="0" w:afterLines="0" w:line="540" w:lineRule="exact"/>
        <w:ind w:firstLine="640"/>
        <w:rPr>
          <w:rFonts w:hint="default" w:ascii="Times New Roman" w:hAnsi="Times New Roman" w:eastAsia="黑体"/>
          <w:kern w:val="0"/>
          <w:sz w:val="32"/>
          <w:szCs w:val="32"/>
        </w:rPr>
      </w:pPr>
      <w:r>
        <w:rPr>
          <w:rFonts w:hint="eastAsia" w:ascii="黑体" w:hAnsi="Times New Roman" w:eastAsia="黑体" w:cs="黑体"/>
          <w:sz w:val="32"/>
          <w:szCs w:val="32"/>
        </w:rPr>
        <w:t>八、《政府性基金预算财政拨款收入支出决算表》</w:t>
      </w:r>
    </w:p>
    <w:p>
      <w:pPr>
        <w:autoSpaceDE w:val="0"/>
        <w:autoSpaceDN w:val="0"/>
        <w:adjustRightInd w:val="0"/>
        <w:spacing w:beforeLines="0" w:afterLines="0" w:line="540" w:lineRule="exact"/>
        <w:ind w:firstLine="640"/>
        <w:rPr>
          <w:rFonts w:hint="default" w:ascii="Times New Roman" w:hAnsi="Times New Roman" w:eastAsia="黑体"/>
          <w:kern w:val="0"/>
          <w:sz w:val="32"/>
          <w:szCs w:val="32"/>
        </w:rPr>
      </w:pPr>
      <w:r>
        <w:rPr>
          <w:rFonts w:hint="eastAsia" w:ascii="黑体" w:hAnsi="Times New Roman" w:eastAsia="黑体" w:cs="黑体"/>
          <w:sz w:val="32"/>
          <w:szCs w:val="32"/>
          <w:lang w:val="zh-CN"/>
        </w:rPr>
        <w:t>九</w:t>
      </w:r>
      <w:r>
        <w:rPr>
          <w:rFonts w:hint="eastAsia" w:ascii="黑体" w:hAnsi="Times New Roman" w:eastAsia="黑体" w:cs="黑体"/>
          <w:sz w:val="32"/>
          <w:szCs w:val="32"/>
        </w:rPr>
        <w:t>、《国有资本经营预算财政拨款收入支出决算表》</w:t>
      </w:r>
    </w:p>
    <w:p>
      <w:pPr>
        <w:autoSpaceDE w:val="0"/>
        <w:autoSpaceDN w:val="0"/>
        <w:adjustRightInd w:val="0"/>
        <w:spacing w:beforeLines="0" w:afterLines="0"/>
        <w:jc w:val="left"/>
        <w:rPr>
          <w:rFonts w:hint="default" w:ascii="Times New Roman" w:hAnsi="Times New Roman" w:eastAsia="黑体"/>
          <w:kern w:val="36"/>
          <w:sz w:val="40"/>
          <w:szCs w:val="40"/>
          <w:lang w:val="zh-CN"/>
        </w:rPr>
      </w:pPr>
    </w:p>
    <w:p>
      <w:pPr>
        <w:autoSpaceDE w:val="0"/>
        <w:autoSpaceDN w:val="0"/>
        <w:adjustRightInd w:val="0"/>
        <w:spacing w:beforeLines="0" w:afterLines="0"/>
        <w:rPr>
          <w:rFonts w:hint="default" w:ascii="Times New Roman" w:hAnsi="Times New Roman" w:eastAsia="黑体"/>
          <w:sz w:val="21"/>
          <w:szCs w:val="21"/>
        </w:rPr>
      </w:pPr>
    </w:p>
    <w:p>
      <w:pPr>
        <w:autoSpaceDE w:val="0"/>
        <w:autoSpaceDN w:val="0"/>
        <w:adjustRightInd w:val="0"/>
        <w:spacing w:beforeLines="0" w:afterLines="0"/>
        <w:jc w:val="left"/>
        <w:rPr>
          <w:rFonts w:hint="default" w:ascii="Times New Roman" w:hAnsi="Times New Roman" w:eastAsia="黑体"/>
          <w:kern w:val="36"/>
          <w:sz w:val="40"/>
          <w:szCs w:val="40"/>
          <w:lang w:val="zh-CN"/>
        </w:rPr>
      </w:pPr>
    </w:p>
    <w:p>
      <w:pPr>
        <w:autoSpaceDE w:val="0"/>
        <w:autoSpaceDN w:val="0"/>
        <w:adjustRightInd w:val="0"/>
        <w:spacing w:beforeLines="0" w:afterLines="0"/>
        <w:rPr>
          <w:rFonts w:hint="default" w:ascii="Times New Roman" w:hAnsi="Times New Roman" w:eastAsia="黑体"/>
          <w:sz w:val="21"/>
          <w:szCs w:val="21"/>
        </w:rPr>
      </w:pPr>
    </w:p>
    <w:p>
      <w:pPr>
        <w:autoSpaceDE w:val="0"/>
        <w:autoSpaceDN w:val="0"/>
        <w:adjustRightInd w:val="0"/>
        <w:spacing w:beforeLines="0" w:afterLines="0"/>
        <w:jc w:val="left"/>
        <w:rPr>
          <w:rFonts w:hint="default" w:ascii="Times New Roman" w:hAnsi="Times New Roman" w:eastAsia="黑体"/>
          <w:kern w:val="36"/>
          <w:sz w:val="40"/>
          <w:szCs w:val="40"/>
          <w:lang w:val="zh-CN"/>
        </w:rPr>
      </w:pPr>
    </w:p>
    <w:sectPr>
      <w:pgSz w:w="12240" w:h="15840"/>
      <w:pgMar w:top="1440" w:right="1800" w:bottom="1440" w:left="180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0"/>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02E53FB2"/>
    <w:rsid w:val="0C863E51"/>
    <w:rsid w:val="60723EF8"/>
    <w:rsid w:val="6CE70EE5"/>
    <w:rsid w:val="7AB21A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iPriority="99" w:semiHidden="0" w:name="header"/>
    <w:lsdException w:qFormat="1" w:uiPriority="99"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10" w:semiHidden="0" w:name="Title"/>
    <w:lsdException w:qFormat="1" w:unhideWhenUsed="0" w:uiPriority="99" w:semiHidden="0" w:name="Closing"/>
    <w:lsdException w:qFormat="1" w:unhideWhenUsed="0" w:uiPriority="99" w:semiHidden="0" w:name="Signature"/>
    <w:lsdException w:qFormat="1" w:uiPriority="1"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11"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3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spacing w:beforeLines="0" w:afterLines="0"/>
      <w:jc w:val="both"/>
    </w:pPr>
    <w:rPr>
      <w:rFonts w:hint="eastAsia" w:ascii="等线" w:hAnsi="等线" w:eastAsia="等线" w:cs="Times New Roman"/>
      <w:kern w:val="2"/>
      <w:sz w:val="21"/>
      <w:szCs w:val="22"/>
      <w:lang w:val="en-US" w:eastAsia="zh-CN" w:bidi="ar-SA"/>
    </w:rPr>
  </w:style>
  <w:style w:type="character" w:default="1" w:styleId="5">
    <w:name w:val="Default Paragraph Font"/>
    <w:unhideWhenUsed/>
    <w:qFormat/>
    <w:uiPriority w:val="1"/>
    <w:rPr>
      <w:rFonts w:hint="default"/>
      <w:sz w:val="24"/>
      <w:szCs w:val="24"/>
    </w:rPr>
  </w:style>
  <w:style w:type="table" w:default="1" w:styleId="4">
    <w:name w:val="Normal Table"/>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spacing w:beforeLines="0" w:afterLines="0"/>
      <w:jc w:val="left"/>
    </w:pPr>
    <w:rPr>
      <w:rFonts w:hint="eastAsia"/>
      <w:sz w:val="18"/>
      <w:szCs w:val="18"/>
    </w:rPr>
  </w:style>
  <w:style w:type="paragraph" w:styleId="3">
    <w:name w:val="header"/>
    <w:basedOn w:val="1"/>
    <w:link w:val="6"/>
    <w:unhideWhenUsed/>
    <w:qFormat/>
    <w:uiPriority w:val="99"/>
    <w:pPr>
      <w:tabs>
        <w:tab w:val="center" w:pos="4153"/>
        <w:tab w:val="right" w:pos="8306"/>
      </w:tabs>
      <w:snapToGrid w:val="0"/>
      <w:spacing w:beforeLines="0" w:afterLines="0"/>
      <w:jc w:val="center"/>
    </w:pPr>
    <w:rPr>
      <w:rFonts w:hint="eastAsia"/>
      <w:sz w:val="18"/>
      <w:szCs w:val="18"/>
    </w:rPr>
  </w:style>
  <w:style w:type="character" w:customStyle="1" w:styleId="6">
    <w:name w:val="页眉 字符"/>
    <w:basedOn w:val="5"/>
    <w:link w:val="3"/>
    <w:unhideWhenUsed/>
    <w:qFormat/>
    <w:uiPriority w:val="99"/>
    <w:rPr>
      <w:rFonts w:hint="default" w:cs="Times New Roman"/>
      <w:sz w:val="18"/>
      <w:szCs w:val="18"/>
    </w:rPr>
  </w:style>
  <w:style w:type="character" w:customStyle="1" w:styleId="7">
    <w:name w:val="页脚 字符"/>
    <w:basedOn w:val="5"/>
    <w:link w:val="2"/>
    <w:unhideWhenUsed/>
    <w:qFormat/>
    <w:uiPriority w:val="99"/>
    <w:rPr>
      <w:rFonts w:hint="default"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18</Pages>
  <Words>7226</Words>
  <Characters>8199</Characters>
  <TotalTime>5</TotalTime>
  <ScaleCrop>false</ScaleCrop>
  <LinksUpToDate>false</LinksUpToDate>
  <CharactersWithSpaces>8262</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2023-08-22T08:59:00Z</dcterms:created>
  <dc:creator>asus</dc:creator>
  <cp:lastModifiedBy>逐梦令</cp:lastModifiedBy>
  <dcterms:modified xsi:type="dcterms:W3CDTF">2023-08-30T12:12:22Z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E9418FEE87324522AAF7E4C45D77F82C_13</vt:lpwstr>
  </property>
</Properties>
</file>